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6F6C7">
      <w:pPr>
        <w:snapToGrid/>
        <w:spacing w:before="0" w:after="0" w:line="8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  <w:t>“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金帆</w:t>
      </w:r>
      <w:r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  <w:t>启航”第二课堂项目培育与奖励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办法</w:t>
      </w:r>
    </w:p>
    <w:p w14:paraId="308503BB">
      <w:pPr>
        <w:snapToGrid/>
        <w:spacing w:before="0" w:after="0" w:line="800" w:lineRule="exact"/>
        <w:ind w:left="0" w:right="0"/>
        <w:jc w:val="center"/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试行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eastAsia="zh-CN"/>
        </w:rPr>
        <w:t>）</w:t>
      </w:r>
    </w:p>
    <w:p w14:paraId="5AB2ABB5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</w:p>
    <w:p w14:paraId="7591D055">
      <w:pPr>
        <w:tabs>
          <w:tab w:val="left" w:pos="3520"/>
        </w:tabs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为进一步培养金融学院学生创新创业精神和实践动手能力，涵养优质学风，学院拟定《“金帆启航”第二课堂项目培育与奖励办法》，鼓励本院学生担任队长，在学科竞赛、社会实践、专利、重要职业资格证等项目上冲击高质量成果。</w:t>
      </w:r>
    </w:p>
    <w:p w14:paraId="1A1EEC8C">
      <w:pPr>
        <w:tabs>
          <w:tab w:val="left" w:pos="3520"/>
        </w:tabs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自2026年起，高顿公司对我院的捐赠款项用以支持本办法的实施。</w:t>
      </w:r>
    </w:p>
    <w:p w14:paraId="54680D96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firstLine="664" w:firstLineChars="200"/>
        <w:jc w:val="both"/>
        <w:textAlignment w:val="baseline"/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2"/>
          <w:szCs w:val="32"/>
          <w:lang w:val="en-US" w:eastAsia="zh-CN"/>
        </w:rPr>
        <w:t>一、学科竞赛培育项目</w:t>
      </w:r>
    </w:p>
    <w:p w14:paraId="72C993F8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default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培育项目申报要求</w:t>
      </w:r>
    </w:p>
    <w:p w14:paraId="1D88CA33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</w:rPr>
        <w:t>培育竞赛范围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创业类项目团队、创新类项目团队和其他参加A+类学科竞赛的团队。</w:t>
      </w:r>
    </w:p>
    <w:p w14:paraId="45412A51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项目成员要求：队长应当为金融学院学生，竞赛申报时以金融学院为第一单位申报。同等情况下，优先培育指导老师有本院教师的团队。</w:t>
      </w:r>
    </w:p>
    <w:p w14:paraId="0D02F3C4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（二）培育周期</w:t>
      </w:r>
    </w:p>
    <w:p w14:paraId="55ABF4D5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培育周期为1年，同一内容项目优化后可以继续申报。</w:t>
      </w:r>
    </w:p>
    <w:p w14:paraId="6A82FFCB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default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（三）培育项目要求</w:t>
      </w:r>
    </w:p>
    <w:p w14:paraId="3A2D88C1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1.创业类项目团队要求</w:t>
      </w:r>
    </w:p>
    <w:p w14:paraId="7F6B858C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通过本项目立项的创业类团队，应当同时满足以下3个要求：</w:t>
      </w:r>
    </w:p>
    <w:p w14:paraId="439E8D5E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（1）申请大学生创新创业训练计划；</w:t>
      </w:r>
    </w:p>
    <w:p w14:paraId="733A8D09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（2）申请暑期社会实践团队；</w:t>
      </w:r>
    </w:p>
    <w:p w14:paraId="1B1438F5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（3）选择参加2项及以上中国国际大学生创新大赛、“挑战杯”中国大学生创业计划大赛、“数据要素×”大赛等A+赛事；</w:t>
      </w:r>
    </w:p>
    <w:p w14:paraId="1626D307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4）选择参加1项及以上“工行杯”全国大学生金融科技创新能力大赛、全国高校商业精英挑战赛（文旅和会展创新创业实践竞赛）、全国大学生电子商务“创新、创意及创业”挑战赛、“学创杯”全国大学生创业综合模拟大赛、全国企业竞争模拟大赛等A类以上赛事。</w:t>
      </w:r>
    </w:p>
    <w:p w14:paraId="51BEE87D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2.创新类项目团队要求</w:t>
      </w:r>
    </w:p>
    <w:p w14:paraId="2D6804C6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通过本项目立项的创新类团队，应当同时满足以下5个要求：</w:t>
      </w:r>
    </w:p>
    <w:p w14:paraId="5068C45B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（1）申请科研立项；</w:t>
      </w:r>
    </w:p>
    <w:p w14:paraId="626D89FE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（2）申请大学生创新创业训练计划；</w:t>
      </w:r>
    </w:p>
    <w:p w14:paraId="225615A6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（3）申请暑期社会实践团队；</w:t>
      </w:r>
    </w:p>
    <w:p w14:paraId="7B44F618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（4）选择参加1项及以上“数据要素×”大赛、“挑战杯”全国大学生课外学术科技作品竞赛等A+类创新类赛事；</w:t>
      </w:r>
    </w:p>
    <w:p w14:paraId="1004A7E1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（5）至少选择参加2项及以上“工行杯”全国大学生金融科技创新能力大赛、全国高校商业精英挑战赛（会计与商业管理案例竞赛）、全国企业竞争模拟大赛、全国大学生市场调查与分析大赛、全国大学生工程实践与创新能力大赛等A级以上创新类赛事。</w:t>
      </w:r>
    </w:p>
    <w:p w14:paraId="0895C8FC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3. 其他参加A+类学科竞赛的团队</w:t>
      </w:r>
    </w:p>
    <w:p w14:paraId="0197FE71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学院鼓励学生参加全国大学生职业规划大赛、全国大学生数学建模大赛和其相应类型的学科竞赛。</w:t>
      </w:r>
    </w:p>
    <w:p w14:paraId="3087129C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default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（四）项目培育金额</w:t>
      </w:r>
    </w:p>
    <w:p w14:paraId="247CD271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对于创业类项目团队与创新类项目团队，学院分别支持重点培育项目不超过5项，单项培育资金2000元，分别支持一般培育项目不超过15项，单项培育资金500元。</w:t>
      </w:r>
    </w:p>
    <w:p w14:paraId="598BB819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对参加其他A+类学科竞赛的团队，全年投入不超过3000元，主要用于学院为学生提供比赛必要的支持，如数学建模大赛暑期备赛慰问、职业规划大赛必要指导等。</w:t>
      </w:r>
    </w:p>
    <w:p w14:paraId="63DBE51C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default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（五）培育项目申报、评选与验收工作</w:t>
      </w:r>
    </w:p>
    <w:p w14:paraId="2F9A0E65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1. 项目申报</w:t>
      </w:r>
    </w:p>
    <w:p w14:paraId="1CB8D5B4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学院应在秋季学期启动项目申报酝酿工作，在冬季或者春季启动项目申报。</w:t>
      </w:r>
    </w:p>
    <w:p w14:paraId="392833DD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各学生团队应在老师指导下开展有组织的项目打磨工作。根据团队兴趣和能力，选择项目进行申报，按要求提交项目申报书、成员名单、实施方案等材料，并与学院签署《申报承诺书》。</w:t>
      </w:r>
    </w:p>
    <w:p w14:paraId="4BACB490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学生团队和指导教师团队鼓励跨院系交叉融合，但是竞赛申报中第一指导老师应当是本院教师，队长应当是本院学生。</w:t>
      </w:r>
    </w:p>
    <w:p w14:paraId="4C1B3DFA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2. 项目评审</w:t>
      </w:r>
    </w:p>
    <w:p w14:paraId="65F4AECA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成立项目评审委员会，由学院主要负责人任组长，成员包括分管学生工作副书记、分管教学副院长、学院专业教师以及院外专家等，学院团委书记或者分管学风工作专员负责整体推进。</w:t>
      </w:r>
    </w:p>
    <w:p w14:paraId="44C888DB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评审委员会对申报项目进行初审，筛选出符合基本条件的项目进入复审。复审以路演答辩的方式开展，项目团队进行项目陈述和答辩，评审委员会根据项目的创新性、可行性、预期成果等方面进行综合评分，确定拟资助项目名单。</w:t>
      </w:r>
    </w:p>
    <w:p w14:paraId="6DC97622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highlight w:val="yellow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公示无误后，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highlight w:val="yellow"/>
          <w:u w:val="none"/>
          <w:lang w:val="en-US" w:eastAsia="zh-CN"/>
        </w:rPr>
        <w:t>进行资助金发放。金额为</w:t>
      </w:r>
      <w:bookmarkStart w:id="0" w:name="_GoBack"/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highlight w:val="yellow"/>
          <w:u w:val="none"/>
          <w:lang w:val="en-US" w:eastAsia="zh-CN"/>
        </w:rPr>
        <w:t>资助金额的50%</w:t>
      </w:r>
      <w:bookmarkEnd w:id="0"/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highlight w:val="yellow"/>
          <w:u w:val="none"/>
          <w:lang w:val="en-US" w:eastAsia="zh-CN"/>
        </w:rPr>
        <w:t>。</w:t>
      </w:r>
    </w:p>
    <w:p w14:paraId="17AA583D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3. 项目中期管理</w:t>
      </w:r>
    </w:p>
    <w:p w14:paraId="56D3B73A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由学院团委书记或者分管学风工作专员负责项目整体推进。在立项后6个月内，开展中期检查，主要掌握团队按约定推进工作情况、项目具体执行情况和资金使用情况。对中期检查情况不佳的团队进行提示和再督促。</w:t>
      </w:r>
    </w:p>
    <w:p w14:paraId="61515F00">
      <w:pPr>
        <w:snapToGrid/>
        <w:spacing w:before="0" w:after="0" w:line="560" w:lineRule="exact"/>
        <w:ind w:left="0" w:right="0" w:firstLine="643" w:firstLineChars="200"/>
        <w:jc w:val="both"/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strike w:val="0"/>
          <w:color w:val="000000"/>
          <w:sz w:val="32"/>
          <w:u w:val="none"/>
          <w:lang w:val="en-US" w:eastAsia="zh-CN"/>
        </w:rPr>
        <w:t>4. 项目结项</w:t>
      </w:r>
    </w:p>
    <w:p w14:paraId="62BE2C3F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期满后由学院组织结项审核工作。</w:t>
      </w:r>
    </w:p>
    <w:p w14:paraId="4C8E23A9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项目应当根据不同类型，完成对应工作内容；如未完成，可以申请延期半年结项，或者放弃结项。</w:t>
      </w:r>
    </w:p>
    <w:p w14:paraId="04E88C63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完成结项的，可以获得剩余资助金额，并获结项证书；按时结项、并质量优秀的项目，获评“优秀项目”，名额不超过当年立项总数的30%，并可获得次年立项目优先推荐。</w:t>
      </w:r>
    </w:p>
    <w:p w14:paraId="6AD26D55">
      <w:pPr>
        <w:snapToGrid/>
        <w:spacing w:before="0" w:after="0" w:line="560" w:lineRule="exact"/>
        <w:ind w:left="0" w:right="0" w:firstLine="64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放弃结项的，追回资助金，并且主要负责人在新一评选周期内不得作为主要负责人申报项目。</w:t>
      </w:r>
    </w:p>
    <w:p w14:paraId="757257BD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both"/>
        <w:textAlignment w:val="baseline"/>
        <w:rPr>
          <w:rFonts w:hint="default" w:ascii="黑体" w:hAnsi="黑体" w:eastAsia="黑体" w:cs="黑体"/>
          <w:snapToGrid w:val="0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2"/>
          <w:szCs w:val="32"/>
          <w:lang w:val="en-US" w:eastAsia="zh-CN"/>
        </w:rPr>
        <w:t>二、学生高质量成果奖励项目</w:t>
      </w:r>
    </w:p>
    <w:p w14:paraId="6A34DFAC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（一）奖励要求</w:t>
      </w:r>
    </w:p>
    <w:p w14:paraId="25BEA78C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1. 本项目与学校开展的“第二课堂学科竞赛奖励申报”实行错位奖励，即对于同一奖项学校奖励则学院不再奖。每年根据此原则，可能对下述项目进行动态管理。获“高顿启航”学科竞赛培育项目立项资助的项目，如获下述奖励，可以再奖。</w:t>
      </w:r>
    </w:p>
    <w:p w14:paraId="513B59B1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2. 本奖励项目要求队长应当为金融学院学生，涉及单位的，金融学院为第一单位。</w:t>
      </w:r>
    </w:p>
    <w:p w14:paraId="45C252FB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default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（二）奖励项目内容和标准</w:t>
      </w:r>
    </w:p>
    <w:p w14:paraId="731CAA24">
      <w:pPr>
        <w:snapToGrid/>
        <w:spacing w:before="0" w:after="0" w:line="560" w:lineRule="exact"/>
        <w:ind w:left="0" w:right="0" w:firstLine="640" w:firstLineChars="200"/>
        <w:jc w:val="both"/>
      </w:pPr>
      <w:r>
        <w:rPr>
          <w:rFonts w:hint="eastAsia" w:ascii="楷体" w:hAnsi="楷体" w:eastAsia="楷体" w:cs="楷体"/>
          <w:i w:val="0"/>
          <w:strike w:val="0"/>
          <w:color w:val="000000"/>
          <w:sz w:val="32"/>
          <w:u w:val="none"/>
          <w:lang w:val="en-US" w:eastAsia="zh-CN"/>
        </w:rPr>
        <w:t xml:space="preserve">1. </w:t>
      </w:r>
      <w:r>
        <w:rPr>
          <w:rFonts w:ascii="楷体" w:hAnsi="楷体" w:eastAsia="楷体" w:cs="楷体"/>
          <w:i w:val="0"/>
          <w:strike w:val="0"/>
          <w:color w:val="000000"/>
          <w:sz w:val="32"/>
          <w:u w:val="none"/>
        </w:rPr>
        <w:t>社会实践奖励</w:t>
      </w:r>
    </w:p>
    <w:p w14:paraId="56EE44BB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围绕乡村振兴、社会调研、志愿服务、红色文化传承等主题，学生成立团队开展社会实践活动，团队需在校团委备案并且满足校团委关于团队结项要求。学生团队获各类省级以上专项立项并结项的每队每项奖励500元，单支团队社会实践立项并结项奖励金额不超过1000元。</w:t>
      </w:r>
    </w:p>
    <w:p w14:paraId="6AF3BA67">
      <w:pPr>
        <w:snapToGrid/>
        <w:spacing w:before="0" w:after="0" w:line="560" w:lineRule="exact"/>
        <w:ind w:left="0" w:right="0" w:firstLine="640" w:firstLineChars="200"/>
        <w:jc w:val="both"/>
      </w:pPr>
      <w:r>
        <w:rPr>
          <w:rFonts w:hint="eastAsia" w:ascii="楷体" w:hAnsi="楷体" w:eastAsia="楷体" w:cs="楷体"/>
          <w:i w:val="0"/>
          <w:strike w:val="0"/>
          <w:color w:val="000000"/>
          <w:sz w:val="32"/>
          <w:u w:val="none"/>
          <w:lang w:val="en-US" w:eastAsia="zh-CN"/>
        </w:rPr>
        <w:t>2. 知识产权</w:t>
      </w:r>
      <w:r>
        <w:rPr>
          <w:rFonts w:ascii="楷体" w:hAnsi="楷体" w:eastAsia="楷体" w:cs="楷体"/>
          <w:i w:val="0"/>
          <w:strike w:val="0"/>
          <w:color w:val="000000"/>
          <w:sz w:val="32"/>
          <w:u w:val="none"/>
        </w:rPr>
        <w:t>奖励</w:t>
      </w:r>
    </w:p>
    <w:p w14:paraId="7823A0A3">
      <w:pPr>
        <w:snapToGrid/>
        <w:spacing w:before="0" w:after="0" w:line="560" w:lineRule="exact"/>
        <w:ind w:left="0" w:right="0" w:firstLine="600" w:firstLineChars="20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30"/>
          <w:u w:val="none"/>
        </w:rPr>
        <w:t xml:space="preserve">  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根据《湖北经济学院学术成果认定办法》（鄂经院发【2022】25号），知识产权是指对获得授权，权属湖北经济学院的发明。专利成果的认定以国家知识产权局专利局颁发的证书为准。</w:t>
      </w:r>
    </w:p>
    <w:p w14:paraId="0AB61BAD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学生在奖励年度内具有国家级或者省级专利奖、发明专利、实用新型专利、外观设计专利、软件著作权等，可申请奖励，其中国家级或者省级专利奖、发明专利奖励1000元，实用新型专利、外观设计专利、软件著作权奖励100元。</w:t>
      </w:r>
    </w:p>
    <w:p w14:paraId="78C7AE19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eastAsia="楷体"/>
          <w:lang w:val="en-US" w:eastAsia="zh-CN"/>
        </w:rPr>
      </w:pPr>
      <w:r>
        <w:rPr>
          <w:rFonts w:hint="eastAsia" w:ascii="楷体" w:hAnsi="楷体" w:eastAsia="楷体" w:cs="楷体"/>
          <w:i w:val="0"/>
          <w:strike w:val="0"/>
          <w:color w:val="000000"/>
          <w:sz w:val="32"/>
          <w:u w:val="none"/>
          <w:lang w:val="en-US" w:eastAsia="zh-CN"/>
        </w:rPr>
        <w:t xml:space="preserve">3. </w:t>
      </w:r>
      <w:r>
        <w:rPr>
          <w:rFonts w:ascii="楷体" w:hAnsi="楷体" w:eastAsia="楷体" w:cs="楷体"/>
          <w:i w:val="0"/>
          <w:strike w:val="0"/>
          <w:color w:val="000000"/>
          <w:sz w:val="32"/>
          <w:u w:val="none"/>
        </w:rPr>
        <w:t>职业资格证书</w:t>
      </w:r>
      <w:r>
        <w:rPr>
          <w:rFonts w:hint="eastAsia" w:ascii="楷体" w:hAnsi="楷体" w:eastAsia="楷体" w:cs="楷体"/>
          <w:i w:val="0"/>
          <w:strike w:val="0"/>
          <w:color w:val="000000"/>
          <w:sz w:val="32"/>
          <w:u w:val="none"/>
          <w:lang w:val="en-US" w:eastAsia="zh-CN"/>
        </w:rPr>
        <w:t>奖励</w:t>
      </w:r>
    </w:p>
    <w:p w14:paraId="48902DF0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学生在奖励年度内获得CFA（特许金融分析师）、FRM（金融风险管理师）、CPA（注册会计师）、ACCA（特许公认会计师公会）和精算师的，发放资格证书并奖励1000元。</w:t>
      </w:r>
    </w:p>
    <w:p w14:paraId="7CBD8DD7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eastAsia="楷体"/>
          <w:lang w:val="en-US" w:eastAsia="zh-CN"/>
        </w:rPr>
      </w:pPr>
      <w:r>
        <w:rPr>
          <w:rFonts w:hint="eastAsia" w:ascii="楷体" w:hAnsi="楷体" w:eastAsia="楷体" w:cs="楷体"/>
          <w:i w:val="0"/>
          <w:strike w:val="0"/>
          <w:color w:val="000000"/>
          <w:sz w:val="32"/>
          <w:u w:val="none"/>
          <w:lang w:val="en-US" w:eastAsia="zh-CN"/>
        </w:rPr>
        <w:t xml:space="preserve">4. </w:t>
      </w:r>
      <w:r>
        <w:rPr>
          <w:rFonts w:ascii="楷体" w:hAnsi="楷体" w:eastAsia="楷体" w:cs="楷体"/>
          <w:i w:val="0"/>
          <w:strike w:val="0"/>
          <w:color w:val="000000"/>
          <w:sz w:val="32"/>
          <w:u w:val="none"/>
        </w:rPr>
        <w:t>论文发表</w:t>
      </w:r>
      <w:r>
        <w:rPr>
          <w:rFonts w:hint="eastAsia" w:ascii="楷体" w:hAnsi="楷体" w:eastAsia="楷体" w:cs="楷体"/>
          <w:i w:val="0"/>
          <w:strike w:val="0"/>
          <w:color w:val="000000"/>
          <w:sz w:val="32"/>
          <w:u w:val="none"/>
          <w:lang w:val="en-US" w:eastAsia="zh-CN"/>
        </w:rPr>
        <w:t>奖励</w:t>
      </w:r>
    </w:p>
    <w:p w14:paraId="2963072E">
      <w:pPr>
        <w:snapToGrid/>
        <w:spacing w:before="0" w:after="0" w:line="560" w:lineRule="exact"/>
        <w:ind w:left="0" w:right="0"/>
        <w:jc w:val="both"/>
        <w:rPr>
          <w:rFonts w:hint="default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黑体" w:hAnsi="黑体" w:eastAsia="黑体" w:cs="黑体"/>
          <w:i w:val="0"/>
          <w:strike w:val="0"/>
          <w:color w:val="000000"/>
          <w:sz w:val="32"/>
          <w:u w:val="none"/>
        </w:rPr>
        <w:t xml:space="preserve"> </w:t>
      </w:r>
      <w:r>
        <w:rPr>
          <w:rFonts w:ascii="仿宋" w:hAnsi="仿宋" w:eastAsia="仿宋" w:cs="仿宋"/>
          <w:i w:val="0"/>
          <w:strike w:val="0"/>
          <w:color w:val="000000"/>
          <w:sz w:val="30"/>
          <w:u w:val="none"/>
        </w:rPr>
        <w:t xml:space="preserve">  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 xml:space="preserve"> 本奖励项目只针对金融学院全日制本科生。根据《湖北经济学院学术成果认定办法》（鄂经院发【2022】25号），学生本人为第一作者，或者老师为第一作者学生是第二作者的，发表或出版B级以上学术论文的，发放奖金1000元；在知网可查询的其他期刊公开发表论文的，发放奖金200元。在评选周期内，论文应当见刊。</w:t>
      </w:r>
    </w:p>
    <w:p w14:paraId="07F2AFAA">
      <w:pPr>
        <w:widowControl/>
        <w:kinsoku w:val="0"/>
        <w:autoSpaceDE w:val="0"/>
        <w:autoSpaceDN w:val="0"/>
        <w:adjustRightInd w:val="0"/>
        <w:snapToGrid w:val="0"/>
        <w:spacing w:before="269" w:after="0" w:line="360" w:lineRule="auto"/>
        <w:ind w:leftChars="200"/>
        <w:jc w:val="both"/>
        <w:textAlignment w:val="baseline"/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 xml:space="preserve"> （三）申</w:t>
      </w: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eastAsia="zh-CN"/>
        </w:rPr>
        <w:t>报</w:t>
      </w:r>
      <w:r>
        <w:rPr>
          <w:rFonts w:hint="eastAsia" w:ascii="楷体" w:hAnsi="楷体" w:eastAsia="楷体" w:cs="楷体"/>
          <w:snapToGrid w:val="0"/>
          <w:color w:val="auto"/>
          <w:spacing w:val="1"/>
          <w:kern w:val="0"/>
          <w:sz w:val="32"/>
          <w:szCs w:val="32"/>
          <w:lang w:val="en-US" w:eastAsia="zh-CN"/>
        </w:rPr>
        <w:t>流程</w:t>
      </w:r>
    </w:p>
    <w:p w14:paraId="28A2B2D7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上述项目以学年为单位进行申报，原则上由学院在秋季学期组织上一学年的申报。</w:t>
      </w:r>
    </w:p>
    <w:p w14:paraId="2FB3A067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由队长进行项目申报，填写相应表格，并提交要求的证明材料。</w:t>
      </w:r>
    </w:p>
    <w:p w14:paraId="456D5AE5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学院分团委或者分管学风工作专员负责工作统筹。核查无误则发放奖励证书和奖金。</w:t>
      </w:r>
    </w:p>
    <w:p w14:paraId="697E4913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both"/>
        <w:textAlignment w:val="baseline"/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2"/>
          <w:szCs w:val="32"/>
          <w:lang w:val="en-US" w:eastAsia="zh-CN"/>
        </w:rPr>
        <w:t>三、其他事项</w:t>
      </w:r>
    </w:p>
    <w:p w14:paraId="14CBBF94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申请人需对提交材料的真实性负责，若发现伪造成绩、编造经历、隐瞒违纪或者学术不端等弄虚作假行为，一经查实，立即取消获奖资格，并追回已发放的奖金及荣誉证书，并在学院内通报批评；情节严重者，按照《湖北经济学院学生违纪处分办法》处理。 </w:t>
      </w:r>
    </w:p>
    <w:p w14:paraId="22585410">
      <w:pPr>
        <w:snapToGrid/>
        <w:spacing w:before="0" w:after="0" w:line="560" w:lineRule="exact"/>
        <w:ind w:left="0" w:right="0"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本办法由湖北经济学院金融学院负责解释，若与学校相关规章制度冲突，以学校制度为准；若遇国家政策、教育法规调整，或高顿公司捐赠方案变更，由学院将修订本办法，并重新公示。</w:t>
      </w:r>
    </w:p>
    <w:p w14:paraId="0C251612">
      <w:pPr>
        <w:snapToGrid/>
        <w:spacing w:before="0" w:after="0" w:line="560" w:lineRule="exact"/>
        <w:ind w:left="0" w:right="0" w:firstLine="640" w:firstLineChars="200"/>
        <w:jc w:val="right"/>
      </w:pPr>
      <w:r>
        <w:rPr>
          <w:rFonts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</w:rPr>
        <w:t>湖北经济学院金融学院</w:t>
      </w:r>
    </w:p>
    <w:p w14:paraId="38A18ABA">
      <w:pPr>
        <w:snapToGrid/>
        <w:spacing w:before="0" w:after="0" w:line="560" w:lineRule="exact"/>
        <w:ind w:left="0" w:right="0" w:firstLine="640" w:firstLineChars="200"/>
        <w:jc w:val="right"/>
      </w:pPr>
      <w:r>
        <w:rPr>
          <w:rFonts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</w:rPr>
        <w:t>202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6</w:t>
      </w:r>
      <w:r>
        <w:rPr>
          <w:rFonts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</w:rPr>
        <w:t>年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3</w:t>
      </w:r>
      <w:r>
        <w:rPr>
          <w:rFonts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</w:rPr>
        <w:t>月1</w:t>
      </w:r>
      <w:r>
        <w:rPr>
          <w:rFonts w:hint="eastAsia"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  <w:lang w:val="en-US" w:eastAsia="zh-CN"/>
        </w:rPr>
        <w:t>5</w:t>
      </w:r>
      <w:r>
        <w:rPr>
          <w:rFonts w:ascii="方正仿宋_GB2312" w:hAnsi="方正仿宋_GB2312" w:eastAsia="方正仿宋_GB2312" w:cs="方正仿宋_GB2312"/>
          <w:i w:val="0"/>
          <w:strike w:val="0"/>
          <w:color w:val="000000"/>
          <w:sz w:val="32"/>
          <w:u w:val="none"/>
        </w:rPr>
        <w:t>日</w:t>
      </w:r>
    </w:p>
    <w:p w14:paraId="2D2C4BFE"/>
    <w:sectPr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22808B7-A0F8-42F7-A009-A091963C8F2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C699E11-2EB5-4BF2-8BC2-BC995D16B4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C25817EE-85B8-4EED-A9AA-48AFD42BFE27}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5E459B8-2321-41A4-93BC-149E8ACF414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E1FF3DF-2BB5-4D24-B3A1-61B28200C4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8CE1145-9538-4BFD-8ABF-5DC04C4BF146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387"/>
  <w:displayHorizontalDrawingGridEvery w:val="0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B62CA"/>
    <w:rsid w:val="001C66E0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A9240CA"/>
    <w:rsid w:val="0F2B6FD9"/>
    <w:rsid w:val="183C240D"/>
    <w:rsid w:val="1AA24D9F"/>
    <w:rsid w:val="1C760AD9"/>
    <w:rsid w:val="1DBD0C5D"/>
    <w:rsid w:val="26734AF5"/>
    <w:rsid w:val="27FBD2E2"/>
    <w:rsid w:val="28DA2E89"/>
    <w:rsid w:val="2A4254F9"/>
    <w:rsid w:val="2B402A00"/>
    <w:rsid w:val="2D1F32F4"/>
    <w:rsid w:val="2D2A469F"/>
    <w:rsid w:val="2E180404"/>
    <w:rsid w:val="3117705F"/>
    <w:rsid w:val="31FC517A"/>
    <w:rsid w:val="323B4D81"/>
    <w:rsid w:val="34B70380"/>
    <w:rsid w:val="3AE174A3"/>
    <w:rsid w:val="410445B6"/>
    <w:rsid w:val="43446334"/>
    <w:rsid w:val="44A84E71"/>
    <w:rsid w:val="477DCE1E"/>
    <w:rsid w:val="4F5E1753"/>
    <w:rsid w:val="50FD70A5"/>
    <w:rsid w:val="54F279F1"/>
    <w:rsid w:val="57292CA7"/>
    <w:rsid w:val="573E1E21"/>
    <w:rsid w:val="5B487E91"/>
    <w:rsid w:val="5CF9550F"/>
    <w:rsid w:val="5EFEBDE8"/>
    <w:rsid w:val="600A4E1D"/>
    <w:rsid w:val="68CA2609"/>
    <w:rsid w:val="68CC1AED"/>
    <w:rsid w:val="69BB0F42"/>
    <w:rsid w:val="6A637494"/>
    <w:rsid w:val="6BCF62E6"/>
    <w:rsid w:val="6BD71E9A"/>
    <w:rsid w:val="6CD3A16D"/>
    <w:rsid w:val="6D535020"/>
    <w:rsid w:val="6E5F49A6"/>
    <w:rsid w:val="6F0938E1"/>
    <w:rsid w:val="6FFF37D2"/>
    <w:rsid w:val="70DE2EF1"/>
    <w:rsid w:val="74BE402F"/>
    <w:rsid w:val="7C5F4108"/>
    <w:rsid w:val="7F0B7D77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8"/>
    <w:basedOn w:val="1"/>
    <w:next w:val="1"/>
    <w:autoRedefine/>
    <w:qFormat/>
    <w:uiPriority w:val="99"/>
    <w:pPr>
      <w:ind w:left="2940" w:leftChars="14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3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5">
    <w:name w:val="Title"/>
    <w:basedOn w:val="1"/>
    <w:next w:val="1"/>
    <w:link w:val="22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7">
    <w:name w:val="Table Grid"/>
    <w:basedOn w:val="16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9">
    <w:name w:val="Hyperlink"/>
    <w:basedOn w:val="18"/>
    <w:qFormat/>
    <w:uiPriority w:val="0"/>
    <w:rPr>
      <w:color w:val="1E6FFF"/>
      <w:u w:val="single"/>
    </w:rPr>
  </w:style>
  <w:style w:type="paragraph" w:customStyle="1" w:styleId="20">
    <w:name w:val="melo-codeblock-Base-theme-para"/>
    <w:qFormat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character" w:customStyle="1" w:styleId="21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  <w:style w:type="character" w:customStyle="1" w:styleId="22">
    <w:name w:val="标题 字符"/>
    <w:basedOn w:val="18"/>
    <w:link w:val="15"/>
    <w:qFormat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character" w:customStyle="1" w:styleId="23">
    <w:name w:val="副标题 字符"/>
    <w:basedOn w:val="18"/>
    <w:link w:val="14"/>
    <w:qFormat/>
    <w:uiPriority w:val="0"/>
    <w:rPr>
      <w:rFonts w:ascii="Arial" w:hAnsi="Arial" w:eastAsia="微软雅黑" w:cstheme="minorBidi"/>
      <w:b/>
      <w:bCs/>
      <w:kern w:val="28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0abdd87a-b545-4487-bcb2-4cfecdfec5d7</errorID>
      <errorWord>涵养优质学风</errorWord>
      <group>L1_Political</group>
      <groupName>政治性问题</groupName>
      <ability>L2_Keyword</ability>
      <abilityName>固定表述</abilityName>
      <candidateList>
        <item>涵养优良学风</item>
      </candidateList>
      <explain>词汇“涵养优良学风”在特定场景下为固定表述形式，请确认此处的“涵养优质学风”是否存在不当。</explain>
      <paraID>7009351D</paraID>
      <start>26</start>
      <end>32</end>
      <status>ignored</status>
      <modifiedWord/>
      <trackRevisions>false</trackRevisions>
    </reviewItem>
    <reviewItem>
      <errorID>faad9364-5d4f-4387-87b7-087f13adbdf5</errorID>
      <errorWord>是有</errorWord>
      <group>L1_Word</group>
      <groupName>字词问题</groupName>
      <ability>L2_Typo</ability>
      <abilityName>字词错误</abilityName>
      <candidateList>
        <item>是</item>
      </candidateList>
      <explain>〈动〉❶联系两种事物，表明两者同一或后者说明前者的种类、属性：《阿Q正传》的作者～鲁迅｜节约～不浪费的意思。❷与“的”字配合使用，有分类的作用：这张桌子～石头的｜那瓶墨水～红的｜我～来看他的。❸联系两种事物，表示陈述的对象属于“是”后面所说的情况：他～一片好心｜咱们～好汉一言，快马一鞭｜院子里～冬天，屋子里～春天。</explain>
      <paraID>45412A51</paraID>
      <start>51</start>
      <end>52</end>
      <status>modified</status>
      <modifiedWord>是</modifiedWord>
      <trackRevisions>false</trackRevisions>
    </reviewItem>
    <reviewItem>
      <errorID>c74dfc77-062d-4ac1-b7f6-fc3837aa834d</errorID>
      <errorWord>项目</errorWord>
      <group>L1_Word</group>
      <groupName>字词问题</groupName>
      <ability>L2_Typo</ability>
      <abilityName>字词错误</abilityName>
      <candidateList>
        <item>项</item>
      </candidateList>
      <explain/>
      <paraID>1626D307</paraID>
      <start>10</start>
      <end>11</end>
      <status>modified</status>
      <modifiedWord>项</modifiedWord>
      <trackRevisions>false</trackRevisions>
    </reviewItem>
    <reviewItem>
      <errorID>6a92ba5d-9ead-4cb1-81c4-0c61035af88a</errorID>
      <errorWord>结项</errorWord>
      <group>L1_Word</group>
      <groupName>字词问题</groupName>
      <ability>L2_Typo</ability>
      <abilityName>字词错误</abilityName>
      <candidateList>
        <item>结训</item>
      </candidateList>
      <explain/>
      <paraID>56EE44BB</paraID>
      <start>62</start>
      <end>64</end>
      <status>ignored</status>
      <modifiedWord/>
      <trackRevisions>false</trackRevisions>
    </reviewItem>
    <reviewItem>
      <errorID>613e89ab-49a7-4bd1-9058-558460fd53ff</errorID>
      <errorWord>【2022】25号</errorWord>
      <group>L1_Knowledge</group>
      <groupName>知识性问题</groupName>
      <ability>L2_Knowledge</ability>
      <abilityName>其他知识</abilityName>
      <candidateList>
        <item>〔2022〕25号</item>
      </candidateList>
      <explain>发文字号格式错误。</explain>
      <paraID>7823A0A3</paraID>
      <start>25</start>
      <end>34</end>
      <status>ignored</status>
      <modifiedWord/>
      <trackRevisions>false</trackRevisions>
    </reviewItem>
    <reviewItem>
      <errorID>3c8ecf3a-1153-4813-8b43-8b8f8a4018b7</errorID>
      <errorWord>。</errorWord>
      <group>L1_Grammar</group>
      <groupName>语法问题</groupName>
      <ability>L2_Order</ability>
      <abilityName>语序不当</abilityName>
      <candidateList>
        <item>的权利。</item>
      </candidateList>
      <explain>句子可能没有遵循时空、逻辑顺序，或者介词、关联词等位置不当。</explain>
      <paraID>7823A0A3</paraID>
      <start>59</start>
      <end>60</end>
      <status>ignored</status>
      <modifiedWord/>
      <trackRevisions>false</trackRevisions>
    </reviewItem>
    <reviewItem>
      <errorID>233e2c05-274d-498c-add5-48abcb11cea7</errorID>
      <errorWord>国家专利局</errorWord>
      <group>L1_Political</group>
      <groupName>政治性问题</groupName>
      <ability>L2_Unpolitical</ability>
      <abilityName>政治敏感错误</abilityName>
      <candidateList>
        <item>国家知识产权局专利局</item>
      </candidateList>
      <explain/>
      <paraID>7823A0A3</paraID>
      <start>68</start>
      <end>78</end>
      <status>modified</status>
      <modifiedWord>国家知识产权局专利局</modifiedWord>
      <trackRevisions>false</trackRevisions>
    </reviewItem>
    <reviewItem>
      <errorID>5e38b8d3-ceea-4ea9-b70a-a65c18199741</errorID>
      <errorWord>【2022】25号</errorWord>
      <group>L1_Knowledge</group>
      <groupName>知识性问题</groupName>
      <ability>L2_Knowledge</ability>
      <abilityName>其他知识</abilityName>
      <candidateList>
        <item>〔2022〕25号</item>
      </candidateList>
      <explain>发文字号格式错误。</explain>
      <paraID>2963072E</paraID>
      <start>27</start>
      <end>36</end>
      <status>ignored</status>
      <modifiedWord/>
      <trackRevisions>false</trackRevisions>
    </reviewItem>
    <reviewItem>
      <errorID>1f55fe43-bd0e-4e81-a7e5-0f5dbece9f19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14CBBF94</paraID>
      <start>60</start>
      <end>62</end>
      <status>modified</status>
      <modifiedWord>，并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491c8eb-45f6-4977-bcf3-e23f3059a1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366</Words>
  <Characters>371</Characters>
  <TotalTime>21</TotalTime>
  <ScaleCrop>false</ScaleCrop>
  <LinksUpToDate>false</LinksUpToDate>
  <CharactersWithSpaces>371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2025-12-15T09:09:00Z</dcterms:created>
  <dc:creator>hbue</dc:creator>
  <cp:lastModifiedBy>瑾瑾瑾</cp:lastModifiedBy>
  <dcterms:modified xsi:type="dcterms:W3CDTF">2026-09-28T03:36:26Z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eyJoZGlkIjoiYTVkYmYyOWFlZWE2MzQ5Zjc0NDhhYWU4ZGJmNzU4OGYiLCJ1c2VySWQiOiIyNjg5NDg5ODkifQ==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0D5798947FA440EE97030C807D5D37B9_13</vt:lpwstr>
  </property>
</Properties>
</file>