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48C08">
      <w:pPr>
        <w:snapToGrid/>
        <w:spacing w:before="0" w:after="0" w:line="800" w:lineRule="exact"/>
        <w:ind w:left="0" w:right="0"/>
        <w:jc w:val="center"/>
        <w:rPr>
          <w:rFonts w:ascii="方正小标宋简体" w:hAnsi="方正小标宋简体" w:eastAsia="方正小标宋简体" w:cs="方正小标宋简体"/>
          <w:i w:val="0"/>
          <w:strike w:val="0"/>
          <w:color w:val="000000"/>
          <w:spacing w:val="-20"/>
          <w:sz w:val="44"/>
          <w:u w:val="none"/>
        </w:rPr>
      </w:pPr>
      <w:r>
        <w:rPr>
          <w:rFonts w:hint="eastAsia" w:ascii="方正小标宋简体" w:hAnsi="方正小标宋简体" w:eastAsia="方正小标宋简体" w:cs="方正小标宋简体"/>
          <w:i w:val="0"/>
          <w:strike w:val="0"/>
          <w:color w:val="000000"/>
          <w:spacing w:val="-20"/>
          <w:sz w:val="44"/>
          <w:u w:val="none"/>
          <w:lang w:val="en-US" w:eastAsia="zh-CN"/>
        </w:rPr>
        <w:t>湖北经济学院金融学院</w:t>
      </w:r>
      <w:r>
        <w:rPr>
          <w:rFonts w:ascii="方正小标宋简体" w:hAnsi="方正小标宋简体" w:eastAsia="方正小标宋简体" w:cs="方正小标宋简体"/>
          <w:i w:val="0"/>
          <w:strike w:val="0"/>
          <w:color w:val="000000"/>
          <w:spacing w:val="-20"/>
          <w:sz w:val="44"/>
          <w:u w:val="none"/>
        </w:rPr>
        <w:t>跨越奖学金评选办法</w:t>
      </w:r>
    </w:p>
    <w:p w14:paraId="758F55D6">
      <w:pPr>
        <w:snapToGrid/>
        <w:spacing w:before="0" w:after="0" w:line="800" w:lineRule="exact"/>
        <w:ind w:left="0" w:right="0"/>
        <w:jc w:val="center"/>
      </w:pPr>
      <w:r>
        <w:rPr>
          <w:rFonts w:hint="eastAsia" w:ascii="方正小标宋简体" w:hAnsi="方正小标宋简体" w:eastAsia="方正小标宋简体" w:cs="方正小标宋简体"/>
          <w:i w:val="0"/>
          <w:strike w:val="0"/>
          <w:color w:val="000000"/>
          <w:spacing w:val="-20"/>
          <w:sz w:val="44"/>
          <w:u w:val="none"/>
          <w:lang w:eastAsia="zh-CN"/>
        </w:rPr>
        <w:t>（</w:t>
      </w:r>
      <w:r>
        <w:rPr>
          <w:rFonts w:hint="eastAsia" w:ascii="方正小标宋简体" w:hAnsi="方正小标宋简体" w:eastAsia="方正小标宋简体" w:cs="方正小标宋简体"/>
          <w:i w:val="0"/>
          <w:strike w:val="0"/>
          <w:color w:val="000000"/>
          <w:spacing w:val="-20"/>
          <w:sz w:val="44"/>
          <w:u w:val="none"/>
          <w:lang w:val="en-US" w:eastAsia="zh-CN"/>
        </w:rPr>
        <w:t>试行</w:t>
      </w:r>
      <w:r>
        <w:rPr>
          <w:rFonts w:hint="eastAsia" w:ascii="方正小标宋简体" w:hAnsi="方正小标宋简体" w:eastAsia="方正小标宋简体" w:cs="方正小标宋简体"/>
          <w:i w:val="0"/>
          <w:strike w:val="0"/>
          <w:color w:val="000000"/>
          <w:spacing w:val="-20"/>
          <w:sz w:val="44"/>
          <w:u w:val="none"/>
          <w:lang w:eastAsia="zh-CN"/>
        </w:rPr>
        <w:t>）</w:t>
      </w:r>
    </w:p>
    <w:p w14:paraId="77A6CDDF">
      <w:pPr>
        <w:kinsoku w:val="0"/>
        <w:autoSpaceDE w:val="0"/>
        <w:autoSpaceDN w:val="0"/>
        <w:adjustRightInd w:val="0"/>
        <w:snapToGrid w:val="0"/>
        <w:spacing w:before="297" w:after="0" w:line="360" w:lineRule="auto"/>
        <w:ind w:leftChars="200"/>
        <w:jc w:val="center"/>
        <w:textAlignment w:val="baseline"/>
        <w:rPr>
          <w:rFonts w:ascii="黑体" w:hAnsi="黑体" w:eastAsia="黑体" w:cs="黑体"/>
          <w:snapToGrid w:val="0"/>
          <w:color w:val="auto"/>
          <w:spacing w:val="6"/>
          <w:kern w:val="0"/>
          <w:sz w:val="30"/>
          <w:szCs w:val="30"/>
          <w:lang w:eastAsia="en-US"/>
        </w:rPr>
      </w:pPr>
      <w:r>
        <w:rPr>
          <w:rFonts w:ascii="黑体" w:hAnsi="黑体" w:eastAsia="黑体" w:cs="黑体"/>
          <w:snapToGrid w:val="0"/>
          <w:color w:val="auto"/>
          <w:spacing w:val="6"/>
          <w:kern w:val="0"/>
          <w:sz w:val="30"/>
          <w:szCs w:val="30"/>
          <w:lang w:eastAsia="en-US"/>
        </w:rPr>
        <w:t>第一章  总  则</w:t>
      </w:r>
    </w:p>
    <w:p w14:paraId="6D8CAC92">
      <w:pPr>
        <w:snapToGrid/>
        <w:spacing w:before="0" w:after="0" w:line="600" w:lineRule="exact"/>
        <w:ind w:left="0" w:right="0" w:firstLine="640" w:firstLineChars="200"/>
        <w:jc w:val="both"/>
        <w:rPr>
          <w:rFonts w:ascii="仿宋" w:hAnsi="仿宋" w:eastAsia="仿宋" w:cs="仿宋"/>
          <w:i w:val="0"/>
          <w:strike w:val="0"/>
          <w:color w:val="000000"/>
          <w:sz w:val="32"/>
          <w:u w:val="none"/>
          <w:lang w:val="en-US" w:eastAsia="en-US"/>
        </w:rPr>
      </w:pPr>
      <w:r>
        <w:rPr>
          <w:rFonts w:ascii="仿宋" w:hAnsi="仿宋" w:eastAsia="仿宋" w:cs="仿宋"/>
          <w:i w:val="0"/>
          <w:strike w:val="0"/>
          <w:color w:val="000000"/>
          <w:sz w:val="32"/>
          <w:u w:val="none"/>
          <w:lang w:val="en-US" w:eastAsia="en-US"/>
        </w:rPr>
        <w:t>第一条 “湖北经济学院金融学院跨越奖学金”（以下简称 “跨越奖学金”）旨在全面贯彻党的教育方针，落实立德树人根本任务，激发金融学院学生突破自我、不言放弃的学习积极性主动性，结合学院学生教育管理工作实际，制定本办法。</w:t>
      </w:r>
    </w:p>
    <w:p w14:paraId="6D13FB82">
      <w:pPr>
        <w:snapToGrid/>
        <w:spacing w:before="0" w:after="0" w:line="600" w:lineRule="exact"/>
        <w:ind w:left="0" w:right="0" w:firstLine="640" w:firstLineChars="200"/>
        <w:jc w:val="both"/>
        <w:rPr>
          <w:rFonts w:hint="default" w:ascii="仿宋" w:hAnsi="仿宋" w:eastAsia="仿宋" w:cs="仿宋"/>
          <w:i w:val="0"/>
          <w:strike w:val="0"/>
          <w:color w:val="000000"/>
          <w:sz w:val="32"/>
          <w:u w:val="none"/>
          <w:lang w:val="en-US" w:eastAsia="zh-CN"/>
        </w:rPr>
      </w:pPr>
      <w:r>
        <w:rPr>
          <w:rFonts w:hint="eastAsia" w:ascii="仿宋" w:hAnsi="仿宋" w:eastAsia="仿宋" w:cs="仿宋"/>
          <w:i w:val="0"/>
          <w:strike w:val="0"/>
          <w:color w:val="000000"/>
          <w:sz w:val="32"/>
          <w:u w:val="none"/>
          <w:lang w:val="en-US" w:eastAsia="zh-CN"/>
        </w:rPr>
        <w:t>第二条 自2026年起，</w:t>
      </w:r>
      <w:r>
        <w:rPr>
          <w:rFonts w:ascii="仿宋" w:hAnsi="仿宋" w:eastAsia="仿宋" w:cs="仿宋"/>
          <w:i w:val="0"/>
          <w:strike w:val="0"/>
          <w:color w:val="000000"/>
          <w:sz w:val="32"/>
          <w:u w:val="none"/>
          <w:lang w:val="en-US" w:eastAsia="en-US"/>
        </w:rPr>
        <w:t>融跃科技有限公司</w:t>
      </w:r>
      <w:r>
        <w:rPr>
          <w:rFonts w:hint="eastAsia" w:ascii="仿宋" w:hAnsi="仿宋" w:eastAsia="仿宋" w:cs="仿宋"/>
          <w:i w:val="0"/>
          <w:strike w:val="0"/>
          <w:color w:val="000000"/>
          <w:sz w:val="32"/>
          <w:u w:val="none"/>
          <w:lang w:val="en-US" w:eastAsia="zh-CN"/>
        </w:rPr>
        <w:t>对我院的捐赠款项用以本项目的顺利实施。</w:t>
      </w:r>
    </w:p>
    <w:p w14:paraId="74A569FD">
      <w:pPr>
        <w:snapToGrid/>
        <w:spacing w:before="0" w:after="0" w:line="600" w:lineRule="exact"/>
        <w:ind w:left="0" w:right="0" w:firstLine="640" w:firstLineChars="200"/>
        <w:jc w:val="both"/>
        <w:rPr>
          <w:rFonts w:ascii="仿宋" w:hAnsi="仿宋" w:eastAsia="仿宋" w:cs="仿宋"/>
          <w:i w:val="0"/>
          <w:strike w:val="0"/>
          <w:color w:val="000000"/>
          <w:sz w:val="32"/>
          <w:u w:val="none"/>
        </w:rPr>
      </w:pPr>
      <w:r>
        <w:rPr>
          <w:rFonts w:ascii="仿宋" w:hAnsi="仿宋" w:eastAsia="仿宋" w:cs="仿宋"/>
          <w:i w:val="0"/>
          <w:strike w:val="0"/>
          <w:color w:val="000000"/>
          <w:sz w:val="32"/>
          <w:u w:val="none"/>
        </w:rPr>
        <w:t>第</w:t>
      </w:r>
      <w:r>
        <w:rPr>
          <w:rFonts w:hint="eastAsia" w:ascii="仿宋" w:hAnsi="仿宋" w:eastAsia="仿宋" w:cs="仿宋"/>
          <w:i w:val="0"/>
          <w:strike w:val="0"/>
          <w:color w:val="000000"/>
          <w:sz w:val="32"/>
          <w:u w:val="none"/>
          <w:lang w:val="en-US" w:eastAsia="zh-CN"/>
        </w:rPr>
        <w:t>三</w:t>
      </w:r>
      <w:r>
        <w:rPr>
          <w:rFonts w:ascii="仿宋" w:hAnsi="仿宋" w:eastAsia="仿宋" w:cs="仿宋"/>
          <w:i w:val="0"/>
          <w:strike w:val="0"/>
          <w:color w:val="000000"/>
          <w:sz w:val="32"/>
          <w:u w:val="none"/>
        </w:rPr>
        <w:t>条 本奖学金用于鼓励在学业追求上不言放弃、勇于追求、有所突破的学生。</w:t>
      </w:r>
    </w:p>
    <w:p w14:paraId="0EACC1A7">
      <w:pPr>
        <w:snapToGrid/>
        <w:spacing w:before="0" w:after="0" w:line="600" w:lineRule="exact"/>
        <w:ind w:left="0" w:right="0" w:firstLine="640" w:firstLineChars="200"/>
        <w:jc w:val="both"/>
        <w:rPr>
          <w:rFonts w:ascii="仿宋" w:hAnsi="仿宋" w:eastAsia="仿宋" w:cs="仿宋"/>
          <w:i w:val="0"/>
          <w:strike w:val="0"/>
          <w:color w:val="000000"/>
          <w:sz w:val="32"/>
          <w:u w:val="none"/>
        </w:rPr>
      </w:pPr>
      <w:r>
        <w:rPr>
          <w:rFonts w:ascii="仿宋" w:hAnsi="仿宋" w:eastAsia="仿宋" w:cs="仿宋"/>
          <w:i w:val="0"/>
          <w:strike w:val="0"/>
          <w:color w:val="000000"/>
          <w:sz w:val="32"/>
          <w:u w:val="none"/>
        </w:rPr>
        <w:t>第</w:t>
      </w:r>
      <w:r>
        <w:rPr>
          <w:rFonts w:hint="eastAsia" w:ascii="仿宋" w:hAnsi="仿宋" w:eastAsia="仿宋" w:cs="仿宋"/>
          <w:i w:val="0"/>
          <w:strike w:val="0"/>
          <w:color w:val="000000"/>
          <w:sz w:val="32"/>
          <w:u w:val="none"/>
          <w:lang w:val="en-US" w:eastAsia="zh-CN"/>
        </w:rPr>
        <w:t>四</w:t>
      </w:r>
      <w:r>
        <w:rPr>
          <w:rFonts w:ascii="仿宋" w:hAnsi="仿宋" w:eastAsia="仿宋" w:cs="仿宋"/>
          <w:i w:val="0"/>
          <w:strike w:val="0"/>
          <w:color w:val="000000"/>
          <w:sz w:val="32"/>
          <w:u w:val="none"/>
        </w:rPr>
        <w:t>条 学院对奖学金评选坚持公平、公正、公开、择优原则，严格按照规定程序开展，实行评奖结果公示制度。</w:t>
      </w:r>
    </w:p>
    <w:p w14:paraId="5FB6FF1C">
      <w:pPr>
        <w:kinsoku w:val="0"/>
        <w:autoSpaceDE w:val="0"/>
        <w:autoSpaceDN w:val="0"/>
        <w:adjustRightInd w:val="0"/>
        <w:snapToGrid w:val="0"/>
        <w:spacing w:before="297" w:after="0" w:line="360" w:lineRule="auto"/>
        <w:ind w:leftChars="200"/>
        <w:jc w:val="center"/>
        <w:textAlignment w:val="baseline"/>
        <w:rPr>
          <w:rFonts w:ascii="黑体" w:hAnsi="黑体" w:eastAsia="黑体" w:cs="黑体"/>
          <w:snapToGrid w:val="0"/>
          <w:color w:val="auto"/>
          <w:spacing w:val="6"/>
          <w:kern w:val="0"/>
          <w:sz w:val="30"/>
          <w:szCs w:val="30"/>
          <w:lang w:eastAsia="en-US"/>
        </w:rPr>
      </w:pPr>
      <w:r>
        <w:rPr>
          <w:rFonts w:ascii="黑体" w:hAnsi="黑体" w:eastAsia="黑体" w:cs="黑体"/>
          <w:snapToGrid w:val="0"/>
          <w:color w:val="auto"/>
          <w:spacing w:val="6"/>
          <w:kern w:val="0"/>
          <w:sz w:val="30"/>
          <w:szCs w:val="30"/>
          <w:lang w:eastAsia="en-US"/>
        </w:rPr>
        <w:t>第二章</w:t>
      </w:r>
      <w:r>
        <w:rPr>
          <w:rFonts w:hint="eastAsia" w:ascii="黑体" w:hAnsi="黑体" w:eastAsia="黑体" w:cs="黑体"/>
          <w:snapToGrid w:val="0"/>
          <w:color w:val="auto"/>
          <w:spacing w:val="6"/>
          <w:kern w:val="0"/>
          <w:sz w:val="30"/>
          <w:szCs w:val="30"/>
          <w:lang w:val="en-US" w:eastAsia="zh-CN"/>
        </w:rPr>
        <w:t xml:space="preserve">  </w:t>
      </w:r>
      <w:r>
        <w:rPr>
          <w:rFonts w:ascii="黑体" w:hAnsi="黑体" w:eastAsia="黑体" w:cs="黑体"/>
          <w:snapToGrid w:val="0"/>
          <w:color w:val="auto"/>
          <w:spacing w:val="6"/>
          <w:kern w:val="0"/>
          <w:sz w:val="30"/>
          <w:szCs w:val="30"/>
          <w:lang w:eastAsia="en-US"/>
        </w:rPr>
        <w:t>评选对象与基本条件</w:t>
      </w:r>
    </w:p>
    <w:p w14:paraId="10143B18">
      <w:pPr>
        <w:snapToGrid/>
        <w:spacing w:before="0" w:after="0" w:line="600" w:lineRule="exact"/>
        <w:ind w:left="0" w:right="0" w:firstLine="640" w:firstLineChars="200"/>
        <w:jc w:val="both"/>
      </w:pPr>
      <w:r>
        <w:rPr>
          <w:rFonts w:ascii="仿宋" w:hAnsi="仿宋" w:eastAsia="仿宋" w:cs="仿宋"/>
          <w:i w:val="0"/>
          <w:strike w:val="0"/>
          <w:color w:val="000000"/>
          <w:sz w:val="32"/>
          <w:u w:val="none"/>
        </w:rPr>
        <w:t>第</w:t>
      </w:r>
      <w:r>
        <w:rPr>
          <w:rFonts w:hint="eastAsia" w:ascii="仿宋" w:hAnsi="仿宋" w:eastAsia="仿宋" w:cs="仿宋"/>
          <w:i w:val="0"/>
          <w:strike w:val="0"/>
          <w:color w:val="000000"/>
          <w:sz w:val="32"/>
          <w:u w:val="none"/>
          <w:lang w:val="en-US" w:eastAsia="zh-CN"/>
        </w:rPr>
        <w:t>五</w:t>
      </w:r>
      <w:r>
        <w:rPr>
          <w:rFonts w:ascii="仿宋" w:hAnsi="仿宋" w:eastAsia="仿宋" w:cs="仿宋"/>
          <w:i w:val="0"/>
          <w:strike w:val="0"/>
          <w:color w:val="000000"/>
          <w:sz w:val="32"/>
          <w:u w:val="none"/>
        </w:rPr>
        <w:t>条 评选对象为湖北经济学院金融学院全日制本科在读三年级及以上学生，在上一学年有完整的学业成绩记录，且上一学年未出现休学、保留学籍等情况。</w:t>
      </w:r>
    </w:p>
    <w:p w14:paraId="42C0F1FF">
      <w:pPr>
        <w:snapToGrid/>
        <w:spacing w:before="0" w:after="0" w:line="600" w:lineRule="exact"/>
        <w:ind w:left="0" w:right="0" w:firstLine="640" w:firstLineChars="200"/>
        <w:jc w:val="both"/>
      </w:pPr>
      <w:r>
        <w:rPr>
          <w:rFonts w:ascii="仿宋" w:hAnsi="仿宋" w:eastAsia="仿宋" w:cs="仿宋"/>
          <w:i w:val="0"/>
          <w:strike w:val="0"/>
          <w:color w:val="000000"/>
          <w:sz w:val="32"/>
          <w:u w:val="none"/>
        </w:rPr>
        <w:t>第</w:t>
      </w:r>
      <w:r>
        <w:rPr>
          <w:rFonts w:hint="eastAsia" w:ascii="仿宋" w:hAnsi="仿宋" w:eastAsia="仿宋" w:cs="仿宋"/>
          <w:i w:val="0"/>
          <w:strike w:val="0"/>
          <w:color w:val="000000"/>
          <w:sz w:val="32"/>
          <w:u w:val="none"/>
          <w:lang w:val="en-US" w:eastAsia="zh-CN"/>
        </w:rPr>
        <w:t>六</w:t>
      </w:r>
      <w:r>
        <w:rPr>
          <w:rFonts w:ascii="仿宋" w:hAnsi="仿宋" w:eastAsia="仿宋" w:cs="仿宋"/>
          <w:i w:val="0"/>
          <w:strike w:val="0"/>
          <w:color w:val="000000"/>
          <w:sz w:val="32"/>
          <w:u w:val="none"/>
        </w:rPr>
        <w:t>条 申请跨越奖学金的学生需同时满足以下基本条件：</w:t>
      </w:r>
    </w:p>
    <w:p w14:paraId="5DB3DA1A">
      <w:pPr>
        <w:snapToGrid/>
        <w:spacing w:before="0" w:after="0" w:line="600" w:lineRule="exact"/>
        <w:ind w:left="0" w:right="0" w:firstLine="640" w:firstLineChars="200"/>
        <w:jc w:val="both"/>
        <w:rPr>
          <w:shd w:val="clear" w:color="auto" w:fill="98D7B6"/>
        </w:rPr>
      </w:pPr>
      <w:r>
        <w:rPr>
          <w:rFonts w:ascii="仿宋" w:hAnsi="仿宋" w:eastAsia="仿宋" w:cs="仿宋"/>
          <w:i w:val="0"/>
          <w:strike w:val="0"/>
          <w:color w:val="000000"/>
          <w:sz w:val="32"/>
          <w:u w:val="none"/>
        </w:rPr>
        <w:t>1.拥护中国共产党的领导，热爱祖国，遵守宪法和法律，遵守学校及学院各项规章制度，无任何违法违纪、学术不端、违反校纪校规的记录；</w:t>
      </w:r>
    </w:p>
    <w:p w14:paraId="6F59A84A">
      <w:pPr>
        <w:pBdr>
          <w:bottom w:val="none" w:color="auto" w:sz="0" w:space="0"/>
        </w:pBdr>
        <w:snapToGrid/>
        <w:spacing w:before="0" w:after="0" w:line="600" w:lineRule="exact"/>
        <w:ind w:left="0" w:right="0" w:firstLine="640" w:firstLineChars="200"/>
        <w:jc w:val="both"/>
      </w:pPr>
      <w:r>
        <w:rPr>
          <w:rFonts w:ascii="仿宋" w:hAnsi="仿宋" w:eastAsia="仿宋" w:cs="仿宋"/>
          <w:i w:val="0"/>
          <w:strike w:val="0"/>
          <w:color w:val="000000"/>
          <w:sz w:val="32"/>
          <w:u w:val="none"/>
        </w:rPr>
        <w:t>2.道德品质优良，诚实守信，尊敬师长，团结同学，积极参与班级、学院组织的学风建设活动（如学习经验分享会、晨读晚修、学科竞赛辅助工作等）；</w:t>
      </w:r>
    </w:p>
    <w:p w14:paraId="1E5B65B6">
      <w:pPr>
        <w:snapToGrid/>
        <w:spacing w:before="0" w:after="0" w:line="600" w:lineRule="exact"/>
        <w:ind w:left="0" w:right="0" w:firstLine="640" w:firstLineChars="200"/>
        <w:jc w:val="both"/>
      </w:pPr>
      <w:r>
        <w:rPr>
          <w:rFonts w:ascii="仿宋" w:hAnsi="仿宋" w:eastAsia="仿宋" w:cs="仿宋"/>
          <w:i w:val="0"/>
          <w:strike w:val="0"/>
          <w:color w:val="000000"/>
          <w:sz w:val="32"/>
          <w:u w:val="none"/>
        </w:rPr>
        <w:t>3.学习态度端正，勤奋刻苦，在上一学年（以校历年度为准，即当年9月至次年7月）学业成绩有明显进步。具体进步标准如下：</w:t>
      </w:r>
    </w:p>
    <w:p w14:paraId="158C1117">
      <w:pPr>
        <w:snapToGrid/>
        <w:spacing w:before="0" w:after="0" w:line="600" w:lineRule="exact"/>
        <w:ind w:left="0" w:right="0" w:firstLine="640" w:firstLineChars="200"/>
        <w:jc w:val="both"/>
        <w:rPr>
          <w:rFonts w:ascii="仿宋" w:hAnsi="仿宋" w:eastAsia="仿宋" w:cs="仿宋"/>
          <w:i w:val="0"/>
          <w:strike w:val="0"/>
          <w:color w:val="000000"/>
          <w:sz w:val="32"/>
          <w:highlight w:val="none"/>
          <w:u w:val="none"/>
        </w:rPr>
      </w:pPr>
      <w:r>
        <w:rPr>
          <w:rFonts w:ascii="仿宋" w:hAnsi="仿宋" w:eastAsia="仿宋" w:cs="仿宋"/>
          <w:i w:val="0"/>
          <w:strike w:val="0"/>
          <w:color w:val="000000"/>
          <w:sz w:val="32"/>
          <w:highlight w:val="none"/>
          <w:u w:val="none"/>
        </w:rPr>
        <w:t>（1）以加权平均分排名为核心依据：上一学年</w:t>
      </w:r>
      <w:r>
        <w:rPr>
          <w:rFonts w:hint="eastAsia" w:ascii="仿宋" w:hAnsi="仿宋" w:eastAsia="仿宋" w:cs="仿宋"/>
          <w:i w:val="0"/>
          <w:strike w:val="0"/>
          <w:color w:val="000000"/>
          <w:sz w:val="32"/>
          <w:highlight w:val="none"/>
          <w:u w:val="none"/>
          <w:lang w:val="en-US" w:eastAsia="zh-CN"/>
        </w:rPr>
        <w:t>学分</w:t>
      </w:r>
      <w:r>
        <w:rPr>
          <w:rFonts w:ascii="仿宋" w:hAnsi="仿宋" w:eastAsia="仿宋" w:cs="仿宋"/>
          <w:i w:val="0"/>
          <w:strike w:val="0"/>
          <w:color w:val="000000"/>
          <w:sz w:val="32"/>
          <w:highlight w:val="none"/>
          <w:u w:val="none"/>
        </w:rPr>
        <w:t>加权平均分成绩排名较前一学年</w:t>
      </w:r>
      <w:r>
        <w:rPr>
          <w:rFonts w:hint="eastAsia" w:ascii="仿宋" w:hAnsi="仿宋" w:eastAsia="仿宋" w:cs="仿宋"/>
          <w:i w:val="0"/>
          <w:strike w:val="0"/>
          <w:color w:val="000000"/>
          <w:sz w:val="32"/>
          <w:highlight w:val="none"/>
          <w:u w:val="none"/>
          <w:lang w:val="en-US" w:eastAsia="zh-CN"/>
        </w:rPr>
        <w:t>学分</w:t>
      </w:r>
      <w:r>
        <w:rPr>
          <w:rFonts w:ascii="仿宋" w:hAnsi="仿宋" w:eastAsia="仿宋" w:cs="仿宋"/>
          <w:i w:val="0"/>
          <w:strike w:val="0"/>
          <w:color w:val="000000"/>
          <w:sz w:val="32"/>
          <w:highlight w:val="none"/>
          <w:u w:val="none"/>
        </w:rPr>
        <w:t>加权平均分成绩专业排名增</w:t>
      </w:r>
      <w:r>
        <w:rPr>
          <w:rFonts w:ascii="仿宋" w:hAnsi="仿宋" w:eastAsia="仿宋" w:cs="仿宋"/>
          <w:i w:val="0"/>
          <w:strike w:val="0"/>
          <w:color w:val="auto"/>
          <w:sz w:val="32"/>
          <w:highlight w:val="none"/>
          <w:u w:val="none"/>
        </w:rPr>
        <w:t>幅</w:t>
      </w:r>
      <w:r>
        <w:rPr>
          <w:rFonts w:hint="eastAsia" w:ascii="仿宋" w:hAnsi="仿宋" w:eastAsia="仿宋" w:cs="仿宋"/>
          <w:i w:val="0"/>
          <w:strike w:val="0"/>
          <w:color w:val="auto"/>
          <w:sz w:val="32"/>
          <w:highlight w:val="none"/>
          <w:u w:val="none"/>
          <w:lang w:eastAsia="zh-CN"/>
        </w:rPr>
        <w:t>，</w:t>
      </w:r>
      <w:r>
        <w:rPr>
          <w:rFonts w:hint="eastAsia" w:ascii="仿宋" w:hAnsi="仿宋" w:eastAsia="仿宋" w:cs="仿宋"/>
          <w:i w:val="0"/>
          <w:strike w:val="0"/>
          <w:color w:val="auto"/>
          <w:sz w:val="32"/>
          <w:highlight w:val="none"/>
          <w:u w:val="none"/>
          <w:lang w:val="en-US" w:eastAsia="zh-CN"/>
        </w:rPr>
        <w:t>学分加权课程要求与奖学金评选要求保持一致，学业排名进步幅度应当不少于30%</w:t>
      </w:r>
      <w:r>
        <w:rPr>
          <w:rFonts w:ascii="仿宋" w:hAnsi="仿宋" w:eastAsia="仿宋" w:cs="仿宋"/>
          <w:i w:val="0"/>
          <w:strike w:val="0"/>
          <w:color w:val="000000"/>
          <w:sz w:val="32"/>
          <w:highlight w:val="none"/>
          <w:u w:val="none"/>
        </w:rPr>
        <w:t>；</w:t>
      </w:r>
    </w:p>
    <w:p w14:paraId="3AB22B44">
      <w:pPr>
        <w:snapToGrid/>
        <w:spacing w:before="0" w:after="0" w:line="600" w:lineRule="exact"/>
        <w:ind w:left="0" w:right="0" w:firstLine="640" w:firstLineChars="200"/>
        <w:jc w:val="both"/>
      </w:pPr>
      <w:r>
        <w:rPr>
          <w:rFonts w:ascii="仿宋" w:hAnsi="仿宋" w:eastAsia="仿宋" w:cs="仿宋"/>
          <w:i w:val="0"/>
          <w:strike w:val="0"/>
          <w:color w:val="000000"/>
          <w:sz w:val="32"/>
          <w:u w:val="none"/>
        </w:rPr>
        <w:t>（2）若学生上一学年有转专业、重修课程等特殊情况，需以“转专业后/重修完成后”的完整学年成绩为依据，且重修课程全部合格，无不及格科目；</w:t>
      </w:r>
    </w:p>
    <w:p w14:paraId="2BB0BCAA">
      <w:pPr>
        <w:snapToGrid/>
        <w:spacing w:before="0" w:after="0" w:line="600" w:lineRule="exact"/>
        <w:ind w:left="0" w:right="0" w:firstLine="640" w:firstLineChars="200"/>
        <w:jc w:val="both"/>
        <w:rPr>
          <w:rFonts w:ascii="仿宋" w:hAnsi="仿宋" w:eastAsia="仿宋" w:cs="仿宋"/>
          <w:i w:val="0"/>
          <w:strike w:val="0"/>
          <w:color w:val="000000"/>
          <w:sz w:val="32"/>
          <w:u w:val="none"/>
        </w:rPr>
      </w:pPr>
      <w:r>
        <w:rPr>
          <w:rFonts w:ascii="仿宋" w:hAnsi="仿宋" w:eastAsia="仿宋" w:cs="仿宋"/>
          <w:i w:val="0"/>
          <w:strike w:val="0"/>
          <w:color w:val="000000"/>
          <w:sz w:val="32"/>
          <w:u w:val="none"/>
        </w:rPr>
        <w:t>（3）积极参与课外学术实践活动</w:t>
      </w:r>
      <w:r>
        <w:rPr>
          <w:rFonts w:hint="eastAsia" w:ascii="仿宋" w:hAnsi="仿宋" w:eastAsia="仿宋" w:cs="仿宋"/>
          <w:i w:val="0"/>
          <w:strike w:val="0"/>
          <w:color w:val="000000"/>
          <w:sz w:val="32"/>
          <w:u w:val="none"/>
          <w:lang w:eastAsia="zh-CN"/>
        </w:rPr>
        <w:t>，</w:t>
      </w:r>
      <w:r>
        <w:rPr>
          <w:rFonts w:hint="eastAsia" w:ascii="仿宋" w:hAnsi="仿宋" w:eastAsia="仿宋" w:cs="仿宋"/>
          <w:i w:val="0"/>
          <w:strike w:val="0"/>
          <w:color w:val="000000"/>
          <w:sz w:val="32"/>
          <w:u w:val="none"/>
          <w:lang w:val="en-US" w:eastAsia="zh-CN"/>
        </w:rPr>
        <w:t>以队长身份、或者参加本院学生担任队长的团队获得</w:t>
      </w:r>
      <w:r>
        <w:rPr>
          <w:rFonts w:ascii="仿宋" w:hAnsi="仿宋" w:eastAsia="仿宋" w:cs="仿宋"/>
          <w:i w:val="0"/>
          <w:strike w:val="0"/>
          <w:color w:val="000000"/>
          <w:sz w:val="32"/>
          <w:u w:val="none"/>
        </w:rPr>
        <w:t>A+类学科竞赛省级及以上奖励</w:t>
      </w:r>
      <w:r>
        <w:rPr>
          <w:rFonts w:hint="eastAsia" w:ascii="仿宋" w:hAnsi="仿宋" w:eastAsia="仿宋" w:cs="仿宋"/>
          <w:i w:val="0"/>
          <w:strike w:val="0"/>
          <w:color w:val="000000"/>
          <w:sz w:val="32"/>
          <w:u w:val="none"/>
          <w:lang w:eastAsia="zh-CN"/>
        </w:rPr>
        <w:t>，</w:t>
      </w:r>
      <w:r>
        <w:rPr>
          <w:rFonts w:hint="eastAsia" w:ascii="仿宋" w:hAnsi="仿宋" w:eastAsia="仿宋" w:cs="仿宋"/>
          <w:i w:val="0"/>
          <w:strike w:val="0"/>
          <w:color w:val="000000"/>
          <w:sz w:val="32"/>
          <w:u w:val="none"/>
          <w:lang w:val="en-US" w:eastAsia="zh-CN"/>
        </w:rPr>
        <w:t>在四类及以上期刊以第一或者第二作者身份发表</w:t>
      </w:r>
      <w:r>
        <w:rPr>
          <w:rFonts w:ascii="仿宋" w:hAnsi="仿宋" w:eastAsia="仿宋" w:cs="仿宋"/>
          <w:i w:val="0"/>
          <w:strike w:val="0"/>
          <w:color w:val="000000"/>
          <w:sz w:val="32"/>
          <w:u w:val="none"/>
        </w:rPr>
        <w:t>论文者</w:t>
      </w:r>
      <w:r>
        <w:rPr>
          <w:rFonts w:hint="eastAsia" w:ascii="仿宋" w:hAnsi="仿宋" w:eastAsia="仿宋" w:cs="仿宋"/>
          <w:i w:val="0"/>
          <w:strike w:val="0"/>
          <w:color w:val="000000"/>
          <w:sz w:val="32"/>
          <w:u w:val="none"/>
          <w:lang w:eastAsia="zh-CN"/>
        </w:rPr>
        <w:t>；积极考取金融行业相关职业资格证书（基金从业资格、证券从业资格、银行从业资格）</w:t>
      </w:r>
      <w:r>
        <w:rPr>
          <w:rFonts w:hint="eastAsia" w:ascii="仿宋" w:hAnsi="仿宋" w:eastAsia="仿宋" w:cs="仿宋"/>
          <w:i w:val="0"/>
          <w:strike w:val="0"/>
          <w:color w:val="000000"/>
          <w:sz w:val="32"/>
          <w:u w:val="none"/>
          <w:lang w:val="en-US" w:eastAsia="zh-CN"/>
        </w:rPr>
        <w:t>2个或以上者，</w:t>
      </w:r>
      <w:r>
        <w:rPr>
          <w:rFonts w:ascii="仿宋" w:hAnsi="仿宋" w:eastAsia="仿宋" w:cs="仿宋"/>
          <w:i w:val="0"/>
          <w:strike w:val="0"/>
          <w:color w:val="000000"/>
          <w:sz w:val="32"/>
          <w:u w:val="none"/>
        </w:rPr>
        <w:t>在同等条件下可优先考虑。</w:t>
      </w:r>
    </w:p>
    <w:p w14:paraId="105A1D5D">
      <w:pPr>
        <w:kinsoku w:val="0"/>
        <w:autoSpaceDE w:val="0"/>
        <w:autoSpaceDN w:val="0"/>
        <w:adjustRightInd w:val="0"/>
        <w:snapToGrid w:val="0"/>
        <w:spacing w:before="297" w:after="0" w:line="360" w:lineRule="auto"/>
        <w:ind w:leftChars="200"/>
        <w:jc w:val="center"/>
        <w:textAlignment w:val="baseline"/>
        <w:rPr>
          <w:rFonts w:ascii="黑体" w:hAnsi="黑体" w:eastAsia="黑体" w:cs="黑体"/>
          <w:snapToGrid w:val="0"/>
          <w:color w:val="auto"/>
          <w:spacing w:val="6"/>
          <w:kern w:val="0"/>
          <w:sz w:val="30"/>
          <w:szCs w:val="30"/>
          <w:lang w:eastAsia="en-US"/>
        </w:rPr>
      </w:pPr>
      <w:r>
        <w:rPr>
          <w:rFonts w:ascii="黑体" w:hAnsi="黑体" w:eastAsia="黑体" w:cs="黑体"/>
          <w:snapToGrid w:val="0"/>
          <w:color w:val="auto"/>
          <w:spacing w:val="6"/>
          <w:kern w:val="0"/>
          <w:sz w:val="30"/>
          <w:szCs w:val="30"/>
          <w:lang w:eastAsia="en-US"/>
        </w:rPr>
        <w:t>第三章</w:t>
      </w:r>
      <w:r>
        <w:rPr>
          <w:rFonts w:hint="eastAsia" w:ascii="黑体" w:hAnsi="黑体" w:eastAsia="黑体" w:cs="黑体"/>
          <w:snapToGrid w:val="0"/>
          <w:color w:val="auto"/>
          <w:spacing w:val="6"/>
          <w:kern w:val="0"/>
          <w:sz w:val="30"/>
          <w:szCs w:val="30"/>
          <w:lang w:val="en-US" w:eastAsia="zh-CN"/>
        </w:rPr>
        <w:t xml:space="preserve">  </w:t>
      </w:r>
      <w:r>
        <w:rPr>
          <w:rFonts w:ascii="黑体" w:hAnsi="黑体" w:eastAsia="黑体" w:cs="黑体"/>
          <w:snapToGrid w:val="0"/>
          <w:color w:val="auto"/>
          <w:spacing w:val="6"/>
          <w:kern w:val="0"/>
          <w:sz w:val="30"/>
          <w:szCs w:val="30"/>
          <w:lang w:eastAsia="en-US"/>
        </w:rPr>
        <w:t>评选程序</w:t>
      </w:r>
    </w:p>
    <w:p w14:paraId="49344B41">
      <w:pPr>
        <w:snapToGrid/>
        <w:spacing w:before="0" w:after="0" w:line="600" w:lineRule="exact"/>
        <w:ind w:left="0" w:right="0" w:firstLine="640" w:firstLineChars="200"/>
        <w:jc w:val="both"/>
      </w:pPr>
      <w:r>
        <w:rPr>
          <w:rFonts w:ascii="仿宋" w:hAnsi="仿宋" w:eastAsia="仿宋" w:cs="仿宋"/>
          <w:i w:val="0"/>
          <w:strike w:val="0"/>
          <w:color w:val="000000"/>
          <w:sz w:val="32"/>
          <w:u w:val="none"/>
        </w:rPr>
        <w:t>第</w:t>
      </w:r>
      <w:r>
        <w:rPr>
          <w:rFonts w:hint="eastAsia" w:ascii="仿宋" w:hAnsi="仿宋" w:eastAsia="仿宋" w:cs="仿宋"/>
          <w:i w:val="0"/>
          <w:strike w:val="0"/>
          <w:color w:val="000000"/>
          <w:sz w:val="32"/>
          <w:u w:val="none"/>
          <w:lang w:val="en-US" w:eastAsia="zh-CN"/>
        </w:rPr>
        <w:t>七</w:t>
      </w:r>
      <w:r>
        <w:rPr>
          <w:rFonts w:ascii="仿宋" w:hAnsi="仿宋" w:eastAsia="仿宋" w:cs="仿宋"/>
          <w:i w:val="0"/>
          <w:strike w:val="0"/>
          <w:color w:val="000000"/>
          <w:sz w:val="32"/>
          <w:u w:val="none"/>
        </w:rPr>
        <w:t>条 跨越奖学金每年评选1次，评选工作于每年10月启动，11月完成公示与表彰，具体流程如下：</w:t>
      </w:r>
    </w:p>
    <w:p w14:paraId="14A3FC63">
      <w:pPr>
        <w:snapToGrid/>
        <w:spacing w:before="0" w:after="0" w:line="600" w:lineRule="exact"/>
        <w:ind w:left="0" w:right="0" w:firstLine="640" w:firstLineChars="200"/>
        <w:jc w:val="both"/>
      </w:pPr>
      <w:r>
        <w:rPr>
          <w:rFonts w:ascii="仿宋" w:hAnsi="仿宋" w:eastAsia="仿宋" w:cs="仿宋"/>
          <w:i w:val="0"/>
          <w:strike w:val="0"/>
          <w:color w:val="000000"/>
          <w:sz w:val="32"/>
          <w:u w:val="none"/>
        </w:rPr>
        <w:t>（一）通知发布：学院学生工作办公室（以下简称 “学工办”）根据本办法，在学院官网及各班级群发布评选通知，明确申请条件、材料要求及截止时间（一般为通知发布后 7 个工作日内）；</w:t>
      </w:r>
    </w:p>
    <w:p w14:paraId="7F1175F7">
      <w:pPr>
        <w:snapToGrid/>
        <w:spacing w:before="0" w:after="0" w:line="600" w:lineRule="exact"/>
        <w:ind w:left="0" w:right="0" w:firstLine="640" w:firstLineChars="200"/>
        <w:jc w:val="both"/>
      </w:pPr>
      <w:r>
        <w:rPr>
          <w:rFonts w:ascii="仿宋" w:hAnsi="仿宋" w:eastAsia="仿宋" w:cs="仿宋"/>
          <w:i w:val="0"/>
          <w:strike w:val="0"/>
          <w:color w:val="000000"/>
          <w:sz w:val="32"/>
          <w:u w:val="none"/>
        </w:rPr>
        <w:t>（二）个人申请：符合条件的学生自愿填写《湖北经济学院金融学院跨越奖学金申请表》（由学工办统一提供），并提交以下材料：</w:t>
      </w:r>
    </w:p>
    <w:p w14:paraId="0D919476">
      <w:pPr>
        <w:snapToGrid/>
        <w:spacing w:before="0" w:after="0" w:line="600" w:lineRule="exact"/>
        <w:ind w:left="0" w:right="0" w:firstLine="640" w:firstLineChars="200"/>
        <w:jc w:val="both"/>
        <w:rPr>
          <w:shd w:val="clear" w:color="auto" w:fill="98D7B6"/>
        </w:rPr>
      </w:pPr>
      <w:r>
        <w:rPr>
          <w:rFonts w:ascii="仿宋" w:hAnsi="仿宋" w:eastAsia="仿宋" w:cs="仿宋"/>
          <w:i w:val="0"/>
          <w:strike w:val="0"/>
          <w:color w:val="000000"/>
          <w:sz w:val="32"/>
          <w:u w:val="none"/>
        </w:rPr>
        <w:t>1.申请者需要提供前一学年与上一学年的学业成绩单（需从学校教务系统打印并加盖学校教务处公章）和专业排名情况；若无法提供的，由学生工作办公室从教务系统按照学年导出申请人成绩。</w:t>
      </w:r>
    </w:p>
    <w:p w14:paraId="4B76E052">
      <w:pPr>
        <w:snapToGrid/>
        <w:spacing w:before="0" w:after="0" w:line="600" w:lineRule="exact"/>
        <w:ind w:left="0" w:right="0" w:firstLine="640" w:firstLineChars="200"/>
        <w:jc w:val="both"/>
      </w:pPr>
      <w:r>
        <w:rPr>
          <w:rFonts w:ascii="仿宋" w:hAnsi="仿宋" w:eastAsia="仿宋" w:cs="仿宋"/>
          <w:i w:val="0"/>
          <w:strike w:val="0"/>
          <w:color w:val="000000"/>
          <w:sz w:val="32"/>
          <w:u w:val="none"/>
        </w:rPr>
        <w:t>2.学业进步情况说明（1000 字以内，简述学习方法改进、时间管理调整、遇到的困难及解决过程等，可附学习笔记、辅导记录等支撑材料）；</w:t>
      </w:r>
    </w:p>
    <w:p w14:paraId="59493482">
      <w:pPr>
        <w:snapToGrid/>
        <w:spacing w:before="0" w:after="0" w:line="600" w:lineRule="exact"/>
        <w:ind w:left="0" w:right="0" w:firstLine="640" w:firstLineChars="200"/>
        <w:jc w:val="both"/>
      </w:pPr>
      <w:r>
        <w:rPr>
          <w:rFonts w:ascii="仿宋" w:hAnsi="仿宋" w:eastAsia="仿宋" w:cs="仿宋"/>
          <w:i w:val="0"/>
          <w:strike w:val="0"/>
          <w:color w:val="000000"/>
          <w:sz w:val="32"/>
          <w:u w:val="none"/>
        </w:rPr>
        <w:t>3.其他证明材料（如获奖证书、实习</w:t>
      </w:r>
      <w:r>
        <w:rPr>
          <w:rFonts w:hint="eastAsia" w:ascii="仿宋" w:hAnsi="仿宋" w:eastAsia="仿宋" w:cs="仿宋"/>
          <w:i w:val="0"/>
          <w:strike w:val="0"/>
          <w:color w:val="000000"/>
          <w:sz w:val="32"/>
          <w:u w:val="none"/>
          <w:lang w:val="en-US" w:eastAsia="zh-CN"/>
        </w:rPr>
        <w:t>实践</w:t>
      </w:r>
      <w:r>
        <w:rPr>
          <w:rFonts w:ascii="仿宋" w:hAnsi="仿宋" w:eastAsia="仿宋" w:cs="仿宋"/>
          <w:i w:val="0"/>
          <w:strike w:val="0"/>
          <w:color w:val="000000"/>
          <w:sz w:val="32"/>
          <w:u w:val="none"/>
        </w:rPr>
        <w:t>证明等，可选报）；</w:t>
      </w:r>
    </w:p>
    <w:p w14:paraId="7F8C24FD">
      <w:pPr>
        <w:snapToGrid/>
        <w:spacing w:before="0" w:after="0" w:line="600" w:lineRule="exact"/>
        <w:ind w:left="0" w:right="0" w:firstLine="640" w:firstLineChars="200"/>
        <w:jc w:val="both"/>
      </w:pPr>
      <w:r>
        <w:rPr>
          <w:rFonts w:ascii="仿宋" w:hAnsi="仿宋" w:eastAsia="仿宋" w:cs="仿宋"/>
          <w:i w:val="0"/>
          <w:strike w:val="0"/>
          <w:color w:val="000000"/>
          <w:sz w:val="32"/>
          <w:u w:val="none"/>
        </w:rPr>
        <w:t>学生需在截止时间前将材料提交至学生工作办公室，逾期视为自动放弃；</w:t>
      </w:r>
    </w:p>
    <w:p w14:paraId="25C7DDF7">
      <w:pPr>
        <w:snapToGrid/>
        <w:spacing w:before="0" w:after="0" w:line="600" w:lineRule="exact"/>
        <w:ind w:left="0" w:right="0" w:firstLine="640" w:firstLineChars="200"/>
        <w:jc w:val="both"/>
      </w:pPr>
      <w:r>
        <w:rPr>
          <w:rFonts w:ascii="仿宋" w:hAnsi="仿宋" w:eastAsia="仿宋" w:cs="仿宋"/>
          <w:i w:val="0"/>
          <w:strike w:val="0"/>
          <w:color w:val="000000"/>
          <w:sz w:val="32"/>
          <w:u w:val="none"/>
        </w:rPr>
        <w:t>（三）学院初审：学工办联合学院教务办，对名单进行初审，重点核查学业排名提升数据、成绩真实性及违纪记录情况，形成复审名单；随后组织评审委员会（由分管学生工作和本科生教学工作的院领导、系主任、辅导员组成），对复审名单进行综合评议，确定拟获奖学生名单；</w:t>
      </w:r>
    </w:p>
    <w:p w14:paraId="57D2BDED">
      <w:pPr>
        <w:snapToGrid/>
        <w:spacing w:before="0" w:after="0" w:line="600" w:lineRule="exact"/>
        <w:ind w:left="0" w:right="0" w:firstLine="640" w:firstLineChars="200"/>
        <w:jc w:val="both"/>
      </w:pPr>
      <w:r>
        <w:rPr>
          <w:rFonts w:ascii="仿宋" w:hAnsi="仿宋" w:eastAsia="仿宋" w:cs="仿宋"/>
          <w:i w:val="0"/>
          <w:strike w:val="0"/>
          <w:color w:val="000000"/>
          <w:sz w:val="32"/>
          <w:u w:val="none"/>
        </w:rPr>
        <w:t>（四）公示与异议处理：拟获奖名单在学院官网、公告栏进行公示，公示期不少于 5 个工作日。公示期间，若师生对名单有异议，需以书面形式（附本人真实姓名、联系方式）向学工办提出，学工办需在 3 个工作日内组织核查并反馈处理结果；公示无异议后，确定最终获奖名单；</w:t>
      </w:r>
    </w:p>
    <w:p w14:paraId="6CDC6EBA">
      <w:pPr>
        <w:snapToGrid/>
        <w:spacing w:before="0" w:after="0" w:line="600" w:lineRule="exact"/>
        <w:ind w:left="0" w:right="0" w:firstLine="640" w:firstLineChars="200"/>
        <w:jc w:val="both"/>
      </w:pPr>
      <w:r>
        <w:rPr>
          <w:rFonts w:ascii="仿宋" w:hAnsi="仿宋" w:eastAsia="仿宋" w:cs="仿宋"/>
          <w:i w:val="0"/>
          <w:strike w:val="0"/>
          <w:color w:val="000000"/>
          <w:sz w:val="32"/>
          <w:u w:val="none"/>
        </w:rPr>
        <w:t>（五）表彰备案：学院在公示后组织表彰仪式，邀请融跃科技有限公司代表出席，为获奖学生颁发荣誉证书及奖金。</w:t>
      </w:r>
    </w:p>
    <w:p w14:paraId="64C9B517">
      <w:pPr>
        <w:kinsoku w:val="0"/>
        <w:autoSpaceDE w:val="0"/>
        <w:autoSpaceDN w:val="0"/>
        <w:adjustRightInd w:val="0"/>
        <w:snapToGrid w:val="0"/>
        <w:spacing w:before="297" w:after="0" w:line="360" w:lineRule="auto"/>
        <w:ind w:leftChars="200"/>
        <w:jc w:val="center"/>
        <w:textAlignment w:val="baseline"/>
        <w:rPr>
          <w:rFonts w:hint="eastAsia" w:ascii="黑体" w:hAnsi="黑体" w:eastAsia="黑体" w:cs="黑体"/>
          <w:snapToGrid w:val="0"/>
          <w:color w:val="auto"/>
          <w:spacing w:val="6"/>
          <w:kern w:val="0"/>
          <w:sz w:val="30"/>
          <w:szCs w:val="30"/>
          <w:lang w:val="en-US" w:eastAsia="zh-CN"/>
        </w:rPr>
      </w:pPr>
      <w:r>
        <w:rPr>
          <w:rFonts w:hint="eastAsia" w:ascii="黑体" w:hAnsi="黑体" w:eastAsia="黑体" w:cs="黑体"/>
          <w:snapToGrid w:val="0"/>
          <w:color w:val="auto"/>
          <w:spacing w:val="6"/>
          <w:kern w:val="0"/>
          <w:sz w:val="30"/>
          <w:szCs w:val="30"/>
          <w:lang w:val="en-US" w:eastAsia="zh-CN"/>
        </w:rPr>
        <w:t>第四章  奖励标准与资金管理</w:t>
      </w:r>
    </w:p>
    <w:p w14:paraId="01758A7E">
      <w:pPr>
        <w:snapToGrid/>
        <w:spacing w:before="0" w:after="0" w:line="600" w:lineRule="exact"/>
        <w:ind w:left="0" w:right="0" w:firstLine="640" w:firstLineChars="200"/>
        <w:jc w:val="both"/>
      </w:pPr>
      <w:r>
        <w:rPr>
          <w:rFonts w:ascii="仿宋" w:hAnsi="仿宋" w:eastAsia="仿宋" w:cs="仿宋"/>
          <w:i w:val="0"/>
          <w:strike w:val="0"/>
          <w:color w:val="000000"/>
          <w:sz w:val="32"/>
          <w:u w:val="none"/>
        </w:rPr>
        <w:t>第</w:t>
      </w:r>
      <w:r>
        <w:rPr>
          <w:rFonts w:hint="eastAsia" w:ascii="仿宋" w:hAnsi="仿宋" w:eastAsia="仿宋" w:cs="仿宋"/>
          <w:i w:val="0"/>
          <w:strike w:val="0"/>
          <w:color w:val="000000"/>
          <w:sz w:val="32"/>
          <w:u w:val="none"/>
          <w:lang w:val="en-US" w:eastAsia="zh-CN"/>
        </w:rPr>
        <w:t>八</w:t>
      </w:r>
      <w:r>
        <w:rPr>
          <w:rFonts w:ascii="仿宋" w:hAnsi="仿宋" w:eastAsia="仿宋" w:cs="仿宋"/>
          <w:i w:val="0"/>
          <w:strike w:val="0"/>
          <w:color w:val="000000"/>
          <w:sz w:val="32"/>
          <w:u w:val="none"/>
        </w:rPr>
        <w:t>条 本奖学金每年奖励名额为大三、大四年级金融专业各3名，大三、大四年级其他专业各1名（特色班级均单独视为一个专业），如果该专业无符合要求的，则不向该专业分配名额，全院每年评奖名额不超过20名。</w:t>
      </w:r>
    </w:p>
    <w:p w14:paraId="09B3C899">
      <w:pPr>
        <w:snapToGrid/>
        <w:spacing w:before="0" w:after="0" w:line="600" w:lineRule="exact"/>
        <w:ind w:left="0" w:right="0" w:firstLine="640" w:firstLineChars="200"/>
        <w:jc w:val="both"/>
      </w:pPr>
      <w:r>
        <w:rPr>
          <w:rFonts w:ascii="仿宋" w:hAnsi="仿宋" w:eastAsia="仿宋" w:cs="仿宋"/>
          <w:i w:val="0"/>
          <w:strike w:val="0"/>
          <w:color w:val="000000"/>
          <w:sz w:val="32"/>
          <w:u w:val="none"/>
        </w:rPr>
        <w:t>第</w:t>
      </w:r>
      <w:r>
        <w:rPr>
          <w:rFonts w:hint="eastAsia" w:ascii="仿宋" w:hAnsi="仿宋" w:eastAsia="仿宋" w:cs="仿宋"/>
          <w:i w:val="0"/>
          <w:strike w:val="0"/>
          <w:color w:val="000000"/>
          <w:sz w:val="32"/>
          <w:u w:val="none"/>
          <w:lang w:val="en-US" w:eastAsia="zh-CN"/>
        </w:rPr>
        <w:t>九</w:t>
      </w:r>
      <w:r>
        <w:rPr>
          <w:rFonts w:ascii="仿宋" w:hAnsi="仿宋" w:eastAsia="仿宋" w:cs="仿宋"/>
          <w:i w:val="0"/>
          <w:strike w:val="0"/>
          <w:color w:val="000000"/>
          <w:sz w:val="32"/>
          <w:u w:val="none"/>
        </w:rPr>
        <w:t>条 奖励标准为每人人民币</w:t>
      </w:r>
      <w:r>
        <w:rPr>
          <w:rFonts w:hint="eastAsia" w:ascii="仿宋" w:hAnsi="仿宋" w:eastAsia="仿宋" w:cs="仿宋"/>
          <w:i w:val="0"/>
          <w:strike w:val="0"/>
          <w:color w:val="000000"/>
          <w:sz w:val="32"/>
          <w:u w:val="none"/>
          <w:lang w:val="en-US" w:eastAsia="zh-CN"/>
        </w:rPr>
        <w:t>5</w:t>
      </w:r>
      <w:r>
        <w:rPr>
          <w:rFonts w:ascii="仿宋" w:hAnsi="仿宋" w:eastAsia="仿宋" w:cs="仿宋"/>
          <w:i w:val="0"/>
          <w:strike w:val="0"/>
          <w:color w:val="000000"/>
          <w:sz w:val="32"/>
          <w:u w:val="none"/>
        </w:rPr>
        <w:t>00元，奖励资金从融跃科技有限公司捐赠款列支。在表彰仪式后15个工作日内，通过银行转账方式直接发放至获奖学生本人银行卡（与学费缴纳卡一致）。</w:t>
      </w:r>
    </w:p>
    <w:p w14:paraId="34A3B78A">
      <w:pPr>
        <w:snapToGrid/>
        <w:spacing w:before="0" w:after="0" w:line="600" w:lineRule="exact"/>
        <w:ind w:left="0" w:right="0" w:firstLine="640" w:firstLineChars="200"/>
        <w:jc w:val="both"/>
      </w:pPr>
      <w:r>
        <w:rPr>
          <w:rFonts w:ascii="仿宋" w:hAnsi="仿宋" w:eastAsia="仿宋" w:cs="仿宋"/>
          <w:i w:val="0"/>
          <w:strike w:val="0"/>
          <w:color w:val="000000"/>
          <w:sz w:val="32"/>
          <w:u w:val="none"/>
        </w:rPr>
        <w:t>第</w:t>
      </w:r>
      <w:r>
        <w:rPr>
          <w:rFonts w:hint="eastAsia" w:ascii="仿宋" w:hAnsi="仿宋" w:eastAsia="仿宋" w:cs="仿宋"/>
          <w:i w:val="0"/>
          <w:strike w:val="0"/>
          <w:color w:val="000000"/>
          <w:sz w:val="32"/>
          <w:u w:val="none"/>
          <w:lang w:val="en-US" w:eastAsia="zh-CN"/>
        </w:rPr>
        <w:t>十</w:t>
      </w:r>
      <w:r>
        <w:rPr>
          <w:rFonts w:ascii="仿宋" w:hAnsi="仿宋" w:eastAsia="仿宋" w:cs="仿宋"/>
          <w:i w:val="0"/>
          <w:strike w:val="0"/>
          <w:color w:val="000000"/>
          <w:sz w:val="32"/>
          <w:u w:val="none"/>
        </w:rPr>
        <w:t>条 获奖学生应当配合学院，开展必要的宣传工作，充分发挥示范带动作用。</w:t>
      </w:r>
    </w:p>
    <w:p w14:paraId="231210CD">
      <w:pPr>
        <w:kinsoku w:val="0"/>
        <w:autoSpaceDE w:val="0"/>
        <w:autoSpaceDN w:val="0"/>
        <w:adjustRightInd w:val="0"/>
        <w:snapToGrid w:val="0"/>
        <w:spacing w:before="297" w:after="0" w:line="360" w:lineRule="auto"/>
        <w:ind w:leftChars="200"/>
        <w:jc w:val="center"/>
        <w:textAlignment w:val="baseline"/>
        <w:rPr>
          <w:rFonts w:hint="eastAsia" w:ascii="黑体" w:hAnsi="黑体" w:eastAsia="黑体" w:cs="黑体"/>
          <w:snapToGrid w:val="0"/>
          <w:color w:val="auto"/>
          <w:spacing w:val="6"/>
          <w:kern w:val="0"/>
          <w:sz w:val="30"/>
          <w:szCs w:val="30"/>
          <w:lang w:val="en-US" w:eastAsia="zh-CN"/>
        </w:rPr>
      </w:pPr>
      <w:r>
        <w:rPr>
          <w:rFonts w:hint="eastAsia" w:ascii="黑体" w:hAnsi="黑体" w:eastAsia="黑体" w:cs="黑体"/>
          <w:snapToGrid w:val="0"/>
          <w:color w:val="auto"/>
          <w:spacing w:val="6"/>
          <w:kern w:val="0"/>
          <w:sz w:val="30"/>
          <w:szCs w:val="30"/>
          <w:lang w:val="en-US" w:eastAsia="zh-CN"/>
        </w:rPr>
        <w:t>第五章  管理与监督</w:t>
      </w:r>
    </w:p>
    <w:p w14:paraId="3FB19F20">
      <w:pPr>
        <w:snapToGrid/>
        <w:spacing w:before="0" w:after="0" w:line="600" w:lineRule="exact"/>
        <w:ind w:left="0" w:right="0" w:firstLine="640" w:firstLineChars="200"/>
        <w:jc w:val="both"/>
      </w:pPr>
      <w:r>
        <w:rPr>
          <w:rFonts w:ascii="仿宋" w:hAnsi="仿宋" w:eastAsia="仿宋" w:cs="仿宋"/>
          <w:i w:val="0"/>
          <w:strike w:val="0"/>
          <w:color w:val="000000"/>
          <w:sz w:val="32"/>
          <w:u w:val="none"/>
        </w:rPr>
        <w:t>第十</w:t>
      </w:r>
      <w:r>
        <w:rPr>
          <w:rFonts w:hint="eastAsia" w:ascii="仿宋" w:hAnsi="仿宋" w:eastAsia="仿宋" w:cs="仿宋"/>
          <w:i w:val="0"/>
          <w:strike w:val="0"/>
          <w:color w:val="000000"/>
          <w:sz w:val="32"/>
          <w:u w:val="none"/>
          <w:lang w:val="en-US" w:eastAsia="zh-CN"/>
        </w:rPr>
        <w:t>一</w:t>
      </w:r>
      <w:r>
        <w:rPr>
          <w:rFonts w:ascii="仿宋" w:hAnsi="仿宋" w:eastAsia="仿宋" w:cs="仿宋"/>
          <w:i w:val="0"/>
          <w:strike w:val="0"/>
          <w:color w:val="000000"/>
          <w:sz w:val="32"/>
          <w:u w:val="none"/>
        </w:rPr>
        <w:t>条 申请人需对提交材料的真实性负责，若发现伪造成绩、编造经历、隐瞒违纪情况等弄虚作假行为，一经查实，立即取消获奖资格，追回已发放的奖金及荣誉证书，并在学院内通报批评；情节严重者，按照《湖北经济学院学生违纪处分办法》处理。</w:t>
      </w:r>
    </w:p>
    <w:p w14:paraId="01BEF2BF">
      <w:pPr>
        <w:snapToGrid/>
        <w:spacing w:before="0" w:after="0" w:line="600" w:lineRule="exact"/>
        <w:ind w:left="0" w:right="0" w:firstLine="640" w:firstLineChars="200"/>
        <w:jc w:val="both"/>
      </w:pPr>
      <w:r>
        <w:rPr>
          <w:rFonts w:ascii="仿宋" w:hAnsi="仿宋" w:eastAsia="仿宋" w:cs="仿宋"/>
          <w:i w:val="0"/>
          <w:strike w:val="0"/>
          <w:color w:val="000000"/>
          <w:sz w:val="32"/>
          <w:u w:val="none"/>
        </w:rPr>
        <w:t>第十</w:t>
      </w:r>
      <w:r>
        <w:rPr>
          <w:rFonts w:hint="eastAsia" w:ascii="仿宋" w:hAnsi="仿宋" w:eastAsia="仿宋" w:cs="仿宋"/>
          <w:i w:val="0"/>
          <w:strike w:val="0"/>
          <w:color w:val="000000"/>
          <w:sz w:val="32"/>
          <w:u w:val="none"/>
          <w:lang w:val="en-US" w:eastAsia="zh-CN"/>
        </w:rPr>
        <w:t>二</w:t>
      </w:r>
      <w:r>
        <w:rPr>
          <w:rFonts w:ascii="仿宋" w:hAnsi="仿宋" w:eastAsia="仿宋" w:cs="仿宋"/>
          <w:i w:val="0"/>
          <w:strike w:val="0"/>
          <w:color w:val="000000"/>
          <w:sz w:val="32"/>
          <w:u w:val="none"/>
        </w:rPr>
        <w:t>条 参与评选工作的人员需严格遵守工作纪律，坚持公平公正原则，严禁弄虚作假、徇私舞弊。若存在违规行为，由学院纪检小组调查核实，并视情节轻重给予批评教育、取消评审资格等处理；涉嫌违纪违法的，移交相关部门处理。</w:t>
      </w:r>
    </w:p>
    <w:p w14:paraId="7A5925D0">
      <w:pPr>
        <w:snapToGrid/>
        <w:spacing w:before="0" w:after="0" w:line="600" w:lineRule="exact"/>
        <w:ind w:left="0" w:right="0" w:firstLine="640" w:firstLineChars="200"/>
        <w:jc w:val="center"/>
      </w:pPr>
      <w:r>
        <w:rPr>
          <w:rFonts w:ascii="黑体" w:hAnsi="黑体" w:eastAsia="黑体" w:cs="黑体"/>
          <w:i w:val="0"/>
          <w:strike w:val="0"/>
          <w:color w:val="000000"/>
          <w:sz w:val="32"/>
          <w:u w:val="none"/>
        </w:rPr>
        <w:t>第六章 附则</w:t>
      </w:r>
    </w:p>
    <w:p w14:paraId="2C7A417F">
      <w:pPr>
        <w:snapToGrid/>
        <w:spacing w:before="0" w:after="0" w:line="600" w:lineRule="exact"/>
        <w:ind w:left="0" w:right="0" w:firstLine="640" w:firstLineChars="200"/>
        <w:jc w:val="both"/>
      </w:pPr>
      <w:r>
        <w:rPr>
          <w:rFonts w:ascii="仿宋" w:hAnsi="仿宋" w:eastAsia="仿宋" w:cs="仿宋"/>
          <w:i w:val="0"/>
          <w:strike w:val="0"/>
          <w:color w:val="000000"/>
          <w:sz w:val="32"/>
          <w:u w:val="none"/>
        </w:rPr>
        <w:t>第十</w:t>
      </w:r>
      <w:r>
        <w:rPr>
          <w:rFonts w:hint="eastAsia" w:ascii="仿宋" w:hAnsi="仿宋" w:eastAsia="仿宋" w:cs="仿宋"/>
          <w:i w:val="0"/>
          <w:strike w:val="0"/>
          <w:color w:val="000000"/>
          <w:sz w:val="32"/>
          <w:u w:val="none"/>
          <w:lang w:val="en-US" w:eastAsia="zh-CN"/>
        </w:rPr>
        <w:t>三</w:t>
      </w:r>
      <w:r>
        <w:rPr>
          <w:rFonts w:ascii="仿宋" w:hAnsi="仿宋" w:eastAsia="仿宋" w:cs="仿宋"/>
          <w:i w:val="0"/>
          <w:strike w:val="0"/>
          <w:color w:val="000000"/>
          <w:sz w:val="32"/>
          <w:u w:val="none"/>
        </w:rPr>
        <w:t>条 本办法由湖北经济学院金融学院负责解释，若与学校相关规章制度冲突，以学校制度为准；若遇国家政策、教育法规调</w:t>
      </w:r>
      <w:bookmarkStart w:id="0" w:name="_GoBack"/>
      <w:bookmarkEnd w:id="0"/>
      <w:r>
        <w:rPr>
          <w:rFonts w:ascii="仿宋" w:hAnsi="仿宋" w:eastAsia="仿宋" w:cs="仿宋"/>
          <w:i w:val="0"/>
          <w:strike w:val="0"/>
          <w:color w:val="000000"/>
          <w:sz w:val="32"/>
          <w:u w:val="none"/>
        </w:rPr>
        <w:t>整，或融跃科技有限公司捐赠方案变更，由学院与融跃科技有限公司协商后修订本办法，并重新公示。</w:t>
      </w:r>
    </w:p>
    <w:p w14:paraId="594D1BC8">
      <w:pPr>
        <w:snapToGrid/>
        <w:spacing w:before="0" w:after="0" w:line="600" w:lineRule="exact"/>
        <w:ind w:left="0" w:right="0" w:firstLine="640" w:firstLineChars="200"/>
        <w:jc w:val="both"/>
      </w:pPr>
      <w:r>
        <w:rPr>
          <w:rFonts w:ascii="仿宋" w:hAnsi="仿宋" w:eastAsia="仿宋" w:cs="仿宋"/>
          <w:i w:val="0"/>
          <w:strike w:val="0"/>
          <w:color w:val="000000"/>
          <w:sz w:val="32"/>
          <w:u w:val="none"/>
        </w:rPr>
        <w:t>第十</w:t>
      </w:r>
      <w:r>
        <w:rPr>
          <w:rFonts w:hint="eastAsia" w:ascii="仿宋" w:hAnsi="仿宋" w:eastAsia="仿宋" w:cs="仿宋"/>
          <w:i w:val="0"/>
          <w:strike w:val="0"/>
          <w:color w:val="000000"/>
          <w:sz w:val="32"/>
          <w:u w:val="none"/>
          <w:lang w:val="en-US" w:eastAsia="zh-CN"/>
        </w:rPr>
        <w:t>四</w:t>
      </w:r>
      <w:r>
        <w:rPr>
          <w:rFonts w:ascii="仿宋" w:hAnsi="仿宋" w:eastAsia="仿宋" w:cs="仿宋"/>
          <w:i w:val="0"/>
          <w:strike w:val="0"/>
          <w:color w:val="000000"/>
          <w:sz w:val="32"/>
          <w:u w:val="none"/>
        </w:rPr>
        <w:t>条 本办法自发布之日起施行，以往学院设立的同类跨越奖学金管理规定与本办法不一致的，以本办法为准。</w:t>
      </w:r>
    </w:p>
    <w:p w14:paraId="03E3A9EE">
      <w:pPr>
        <w:snapToGrid/>
        <w:spacing w:before="120" w:after="120" w:line="288" w:lineRule="auto"/>
        <w:ind w:left="0"/>
        <w:jc w:val="right"/>
      </w:pPr>
      <w:r>
        <w:rPr>
          <w:rFonts w:ascii="仿宋" w:hAnsi="仿宋" w:eastAsia="仿宋" w:cs="仿宋"/>
          <w:i w:val="0"/>
          <w:strike w:val="0"/>
          <w:color w:val="000000"/>
          <w:sz w:val="30"/>
          <w:u w:val="none"/>
        </w:rPr>
        <w:t> </w:t>
      </w:r>
    </w:p>
    <w:p w14:paraId="04B3C66A">
      <w:pPr>
        <w:snapToGrid/>
        <w:spacing w:before="120" w:after="120" w:line="288" w:lineRule="auto"/>
        <w:ind w:left="0"/>
        <w:jc w:val="right"/>
      </w:pPr>
      <w:r>
        <w:rPr>
          <w:rFonts w:ascii="仿宋" w:hAnsi="仿宋" w:eastAsia="仿宋" w:cs="仿宋"/>
          <w:i w:val="0"/>
          <w:strike w:val="0"/>
          <w:color w:val="000000"/>
          <w:sz w:val="30"/>
          <w:u w:val="none"/>
        </w:rPr>
        <w:t>湖北经济学院金融学院</w:t>
      </w:r>
    </w:p>
    <w:p w14:paraId="3300B868">
      <w:pPr>
        <w:snapToGrid/>
        <w:spacing w:before="120" w:after="120" w:line="288" w:lineRule="auto"/>
        <w:ind w:left="0"/>
        <w:jc w:val="right"/>
      </w:pPr>
      <w:r>
        <w:rPr>
          <w:rFonts w:ascii="仿宋" w:hAnsi="仿宋" w:eastAsia="仿宋" w:cs="仿宋"/>
          <w:i w:val="0"/>
          <w:strike w:val="0"/>
          <w:color w:val="000000"/>
          <w:sz w:val="30"/>
          <w:u w:val="none"/>
        </w:rPr>
        <w:t>202</w:t>
      </w:r>
      <w:r>
        <w:rPr>
          <w:rFonts w:hint="eastAsia" w:ascii="仿宋" w:hAnsi="仿宋" w:eastAsia="仿宋" w:cs="仿宋"/>
          <w:i w:val="0"/>
          <w:strike w:val="0"/>
          <w:color w:val="000000"/>
          <w:sz w:val="30"/>
          <w:u w:val="none"/>
          <w:lang w:val="en-US" w:eastAsia="zh-CN"/>
        </w:rPr>
        <w:t>6</w:t>
      </w:r>
      <w:r>
        <w:rPr>
          <w:rFonts w:ascii="仿宋" w:hAnsi="仿宋" w:eastAsia="仿宋" w:cs="仿宋"/>
          <w:i w:val="0"/>
          <w:strike w:val="0"/>
          <w:color w:val="000000"/>
          <w:sz w:val="30"/>
          <w:u w:val="none"/>
        </w:rPr>
        <w:t>年</w:t>
      </w:r>
      <w:r>
        <w:rPr>
          <w:rFonts w:hint="eastAsia" w:ascii="仿宋" w:hAnsi="仿宋" w:eastAsia="仿宋" w:cs="仿宋"/>
          <w:i w:val="0"/>
          <w:strike w:val="0"/>
          <w:color w:val="000000"/>
          <w:sz w:val="30"/>
          <w:u w:val="none"/>
          <w:lang w:val="en-US" w:eastAsia="zh-CN"/>
        </w:rPr>
        <w:t>3</w:t>
      </w:r>
      <w:r>
        <w:rPr>
          <w:rFonts w:ascii="仿宋" w:hAnsi="仿宋" w:eastAsia="仿宋" w:cs="仿宋"/>
          <w:i w:val="0"/>
          <w:strike w:val="0"/>
          <w:color w:val="000000"/>
          <w:sz w:val="30"/>
          <w:u w:val="none"/>
        </w:rPr>
        <w:t>月</w:t>
      </w:r>
      <w:r>
        <w:rPr>
          <w:rFonts w:hint="eastAsia" w:ascii="仿宋" w:hAnsi="仿宋" w:eastAsia="仿宋" w:cs="仿宋"/>
          <w:i w:val="0"/>
          <w:strike w:val="0"/>
          <w:color w:val="000000"/>
          <w:sz w:val="30"/>
          <w:u w:val="none"/>
          <w:lang w:val="en-US" w:eastAsia="zh-CN"/>
        </w:rPr>
        <w:t>15</w:t>
      </w:r>
      <w:r>
        <w:rPr>
          <w:rFonts w:ascii="仿宋" w:hAnsi="仿宋" w:eastAsia="仿宋" w:cs="仿宋"/>
          <w:i w:val="0"/>
          <w:strike w:val="0"/>
          <w:color w:val="000000"/>
          <w:sz w:val="30"/>
          <w:u w:val="none"/>
        </w:rPr>
        <w:t>日</w:t>
      </w:r>
    </w:p>
    <w:p w14:paraId="3A89CE1C"/>
    <w:sectPr>
      <w:pgSz w:w="11906" w:h="16838"/>
      <w:pgMar w:top="1440" w:right="1797" w:bottom="1440" w:left="1797" w:header="851" w:footer="992" w:gutter="0"/>
      <w:cols w:space="0" w:num="1"/>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onaco">
    <w:altName w:val="Courier New"/>
    <w:panose1 w:val="00000000000000000000"/>
    <w:charset w:val="00"/>
    <w:family w:val="auto"/>
    <w:pitch w:val="default"/>
    <w:sig w:usb0="00000000" w:usb1="00000000" w:usb2="00000000" w:usb3="00000000" w:csb0="00000197" w:csb1="00000000"/>
  </w:font>
  <w:font w:name="方正小标宋简体">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HorizontalSpacing w:val="220"/>
  <w:drawingGridVerticalSpacing w:val="387"/>
  <w:displayHorizontalDrawingGridEvery w:val="0"/>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A24D9F"/>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27E1540"/>
    <w:rsid w:val="07011CC2"/>
    <w:rsid w:val="07644792"/>
    <w:rsid w:val="09284798"/>
    <w:rsid w:val="098301DA"/>
    <w:rsid w:val="0F2B6FD9"/>
    <w:rsid w:val="183C240D"/>
    <w:rsid w:val="18C05F7B"/>
    <w:rsid w:val="1AA24D9F"/>
    <w:rsid w:val="27FBD2E2"/>
    <w:rsid w:val="28DA2E89"/>
    <w:rsid w:val="2A4254F9"/>
    <w:rsid w:val="2D1F32F4"/>
    <w:rsid w:val="2ECC63B6"/>
    <w:rsid w:val="323B4D81"/>
    <w:rsid w:val="34B70380"/>
    <w:rsid w:val="36612E47"/>
    <w:rsid w:val="37CA038F"/>
    <w:rsid w:val="3AE174A3"/>
    <w:rsid w:val="43446334"/>
    <w:rsid w:val="44A84E71"/>
    <w:rsid w:val="477DCE1E"/>
    <w:rsid w:val="4BBA0D14"/>
    <w:rsid w:val="532D2A8C"/>
    <w:rsid w:val="573E1E21"/>
    <w:rsid w:val="5B487E91"/>
    <w:rsid w:val="5CF9550F"/>
    <w:rsid w:val="5EFEBDE8"/>
    <w:rsid w:val="68CA2609"/>
    <w:rsid w:val="68CC1AED"/>
    <w:rsid w:val="69BB0F42"/>
    <w:rsid w:val="6A637494"/>
    <w:rsid w:val="6BCF62E6"/>
    <w:rsid w:val="6CD3A16D"/>
    <w:rsid w:val="6D535020"/>
    <w:rsid w:val="6E5F49A6"/>
    <w:rsid w:val="6FFF37D2"/>
    <w:rsid w:val="70DE2EF1"/>
    <w:rsid w:val="70EE0997"/>
    <w:rsid w:val="7C5F4108"/>
    <w:rsid w:val="7F79C282"/>
    <w:rsid w:val="7F7B6CAE"/>
    <w:rsid w:val="7FBF6DD0"/>
    <w:rsid w:val="7FCD17FE"/>
    <w:rsid w:val="7FD7E9A0"/>
    <w:rsid w:val="7FE9FBB2"/>
    <w:rsid w:val="8FFFA67E"/>
    <w:rsid w:val="A97F623E"/>
    <w:rsid w:val="AFBF8780"/>
    <w:rsid w:val="BEEFCB4B"/>
    <w:rsid w:val="BFE6F841"/>
    <w:rsid w:val="BFFBDBCA"/>
    <w:rsid w:val="D5DE8897"/>
    <w:rsid w:val="E7FE3684"/>
    <w:rsid w:val="E95E2A0D"/>
    <w:rsid w:val="EFFF70E4"/>
    <w:rsid w:val="F7EEC240"/>
    <w:rsid w:val="FBF75102"/>
    <w:rsid w:val="FDDC5620"/>
    <w:rsid w:val="FDEA700A"/>
    <w:rsid w:val="FFBFCE42"/>
    <w:rsid w:val="FFFF40C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微软雅黑"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qFormat="1" w:unhideWhenUsed="0" w:uiPriority="99" w:semiHidden="0" w:name="toc 8"/>
    <w:lsdException w:unhideWhenUsed="0" w:uiPriority="99" w:semiHidden="0" w:name="toc 9"/>
    <w:lsdException w:unhideWhenUsed="0" w:uiPriority="0" w:semiHidden="0" w:name="Normal Indent"/>
    <w:lsdException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60" w:after="60"/>
      <w:jc w:val="both"/>
    </w:pPr>
    <w:rPr>
      <w:rFonts w:ascii="Arial" w:hAnsi="Arial" w:eastAsia="微软雅黑" w:cs="Arial"/>
      <w:color w:val="333333"/>
      <w:kern w:val="2"/>
      <w:sz w:val="22"/>
      <w:szCs w:val="24"/>
      <w:lang w:val="en-US" w:eastAsia="zh-CN" w:bidi="ar-SA"/>
    </w:rPr>
  </w:style>
  <w:style w:type="paragraph" w:styleId="2">
    <w:name w:val="heading 1"/>
    <w:basedOn w:val="1"/>
    <w:next w:val="1"/>
    <w:qFormat/>
    <w:uiPriority w:val="0"/>
    <w:pPr>
      <w:keepNext/>
      <w:keepLines/>
      <w:outlineLvl w:val="0"/>
    </w:pPr>
    <w:rPr>
      <w:b/>
      <w:kern w:val="44"/>
      <w:sz w:val="36"/>
    </w:rPr>
  </w:style>
  <w:style w:type="paragraph" w:styleId="3">
    <w:name w:val="heading 2"/>
    <w:basedOn w:val="1"/>
    <w:next w:val="1"/>
    <w:qFormat/>
    <w:uiPriority w:val="0"/>
    <w:pPr>
      <w:keepNext/>
      <w:keepLines/>
      <w:outlineLvl w:val="1"/>
    </w:pPr>
    <w:rPr>
      <w:b/>
      <w:sz w:val="32"/>
    </w:rPr>
  </w:style>
  <w:style w:type="paragraph" w:styleId="4">
    <w:name w:val="heading 3"/>
    <w:basedOn w:val="1"/>
    <w:next w:val="1"/>
    <w:qFormat/>
    <w:uiPriority w:val="0"/>
    <w:pPr>
      <w:keepNext/>
      <w:keepLines/>
      <w:outlineLvl w:val="2"/>
    </w:pPr>
    <w:rPr>
      <w:b/>
      <w:sz w:val="28"/>
    </w:rPr>
  </w:style>
  <w:style w:type="paragraph" w:styleId="5">
    <w:name w:val="heading 4"/>
    <w:basedOn w:val="1"/>
    <w:next w:val="1"/>
    <w:qFormat/>
    <w:uiPriority w:val="0"/>
    <w:pPr>
      <w:keepNext/>
      <w:keepLines/>
      <w:outlineLvl w:val="3"/>
    </w:pPr>
    <w:rPr>
      <w:b/>
      <w:sz w:val="24"/>
    </w:rPr>
  </w:style>
  <w:style w:type="paragraph" w:styleId="6">
    <w:name w:val="heading 5"/>
    <w:basedOn w:val="1"/>
    <w:next w:val="1"/>
    <w:qFormat/>
    <w:uiPriority w:val="0"/>
    <w:pPr>
      <w:keepNext/>
      <w:keepLines/>
      <w:spacing w:line="480" w:lineRule="auto"/>
      <w:outlineLvl w:val="4"/>
    </w:pPr>
    <w:rPr>
      <w:b/>
    </w:rPr>
  </w:style>
  <w:style w:type="paragraph" w:styleId="7">
    <w:name w:val="heading 6"/>
    <w:basedOn w:val="1"/>
    <w:next w:val="1"/>
    <w:qFormat/>
    <w:uiPriority w:val="0"/>
    <w:pPr>
      <w:keepNext/>
      <w:keepLines/>
      <w:spacing w:line="480" w:lineRule="auto"/>
      <w:outlineLvl w:val="5"/>
    </w:pPr>
    <w:rPr>
      <w:b/>
    </w:rPr>
  </w:style>
  <w:style w:type="paragraph" w:styleId="8">
    <w:name w:val="heading 7"/>
    <w:basedOn w:val="1"/>
    <w:next w:val="1"/>
    <w:unhideWhenUsed/>
    <w:qFormat/>
    <w:uiPriority w:val="0"/>
    <w:pPr>
      <w:keepNext/>
      <w:keepLines/>
      <w:spacing w:line="480" w:lineRule="auto"/>
      <w:outlineLvl w:val="6"/>
    </w:pPr>
    <w:rPr>
      <w:b/>
    </w:rPr>
  </w:style>
  <w:style w:type="paragraph" w:styleId="9">
    <w:name w:val="heading 8"/>
    <w:basedOn w:val="1"/>
    <w:next w:val="1"/>
    <w:unhideWhenUsed/>
    <w:qFormat/>
    <w:uiPriority w:val="0"/>
    <w:pPr>
      <w:keepNext/>
      <w:keepLines/>
      <w:spacing w:line="480" w:lineRule="auto"/>
      <w:outlineLvl w:val="7"/>
    </w:pPr>
    <w:rPr>
      <w:b/>
    </w:rPr>
  </w:style>
  <w:style w:type="paragraph" w:styleId="10">
    <w:name w:val="heading 9"/>
    <w:basedOn w:val="1"/>
    <w:next w:val="1"/>
    <w:unhideWhenUsed/>
    <w:qFormat/>
    <w:uiPriority w:val="0"/>
    <w:pPr>
      <w:keepNext/>
      <w:keepLines/>
      <w:spacing w:line="480" w:lineRule="auto"/>
      <w:outlineLvl w:val="8"/>
    </w:pPr>
    <w:rPr>
      <w:b/>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toc 8"/>
    <w:basedOn w:val="1"/>
    <w:next w:val="1"/>
    <w:autoRedefine/>
    <w:qFormat/>
    <w:uiPriority w:val="99"/>
    <w:pPr>
      <w:ind w:left="2940" w:leftChars="1400"/>
    </w:pPr>
  </w:style>
  <w:style w:type="paragraph" w:styleId="12">
    <w:name w:val="footer"/>
    <w:basedOn w:val="1"/>
    <w:qFormat/>
    <w:uiPriority w:val="0"/>
    <w:pPr>
      <w:tabs>
        <w:tab w:val="center" w:pos="4153"/>
        <w:tab w:val="right" w:pos="8306"/>
      </w:tabs>
      <w:snapToGrid w:val="0"/>
      <w:jc w:val="center"/>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22"/>
    <w:qFormat/>
    <w:uiPriority w:val="0"/>
    <w:pPr>
      <w:jc w:val="center"/>
      <w:outlineLvl w:val="1"/>
    </w:pPr>
    <w:rPr>
      <w:rFonts w:cstheme="minorBidi"/>
      <w:b/>
      <w:bCs/>
      <w:kern w:val="28"/>
      <w:sz w:val="44"/>
      <w:szCs w:val="32"/>
    </w:rPr>
  </w:style>
  <w:style w:type="paragraph" w:styleId="15">
    <w:name w:val="Title"/>
    <w:basedOn w:val="1"/>
    <w:next w:val="1"/>
    <w:link w:val="21"/>
    <w:qFormat/>
    <w:uiPriority w:val="0"/>
    <w:pPr>
      <w:jc w:val="center"/>
      <w:outlineLvl w:val="0"/>
    </w:pPr>
    <w:rPr>
      <w:rFonts w:cstheme="majorBidi"/>
      <w:b/>
      <w:bCs/>
      <w:sz w:val="48"/>
      <w:szCs w:val="32"/>
    </w:rPr>
  </w:style>
  <w:style w:type="table" w:styleId="17">
    <w:name w:val="Table Grid"/>
    <w:basedOn w:val="16"/>
    <w:qFormat/>
    <w:uiPriority w:val="0"/>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character" w:styleId="19">
    <w:name w:val="Hyperlink"/>
    <w:basedOn w:val="18"/>
    <w:qFormat/>
    <w:uiPriority w:val="0"/>
    <w:rPr>
      <w:color w:val="1E6FFF"/>
      <w:u w:val="single"/>
    </w:rPr>
  </w:style>
  <w:style w:type="character" w:customStyle="1" w:styleId="20">
    <w:name w:val="melo-codeblock-Base-theme-char"/>
    <w:qFormat/>
    <w:uiPriority w:val="99"/>
    <w:rPr>
      <w:rFonts w:ascii="Monaco" w:hAnsi="Monaco" w:eastAsia="Monaco" w:cs="Monaco"/>
      <w:color w:val="000000"/>
      <w:sz w:val="21"/>
    </w:rPr>
  </w:style>
  <w:style w:type="character" w:customStyle="1" w:styleId="21">
    <w:name w:val="标题 字符"/>
    <w:basedOn w:val="18"/>
    <w:link w:val="15"/>
    <w:qFormat/>
    <w:uiPriority w:val="0"/>
    <w:rPr>
      <w:rFonts w:ascii="Arial" w:hAnsi="Arial" w:eastAsia="微软雅黑" w:cstheme="majorBidi"/>
      <w:b/>
      <w:bCs/>
      <w:kern w:val="2"/>
      <w:sz w:val="48"/>
      <w:szCs w:val="32"/>
    </w:rPr>
  </w:style>
  <w:style w:type="character" w:customStyle="1" w:styleId="22">
    <w:name w:val="副标题 字符"/>
    <w:basedOn w:val="18"/>
    <w:link w:val="14"/>
    <w:qFormat/>
    <w:uiPriority w:val="0"/>
    <w:rPr>
      <w:rFonts w:ascii="Arial" w:hAnsi="Arial" w:eastAsia="微软雅黑" w:cstheme="minorBidi"/>
      <w:b/>
      <w:bCs/>
      <w:kern w:val="28"/>
      <w:sz w:val="44"/>
      <w:szCs w:val="32"/>
    </w:rPr>
  </w:style>
  <w:style w:type="paragraph" w:customStyle="1" w:styleId="23">
    <w:name w:val="melo-codeblock-Base-theme-para"/>
    <w:qFormat/>
    <w:uiPriority w:val="99"/>
    <w:pPr>
      <w:snapToGrid w:val="0"/>
      <w:spacing w:line="360" w:lineRule="auto"/>
    </w:pPr>
    <w:rPr>
      <w:rFonts w:ascii="Monaco" w:hAnsi="Monaco" w:eastAsia="Monaco" w:cs="Monaco"/>
      <w:color w:val="000000"/>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2156</Words>
  <Characters>2181</Characters>
  <TotalTime>6</TotalTime>
  <ScaleCrop>false</ScaleCrop>
  <LinksUpToDate>false</LinksUpToDate>
  <CharactersWithSpaces>2218</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2025-12-15T09:08:00Z</dcterms:created>
  <dc:creator>hbue</dc:creator>
  <cp:lastModifiedBy>Amoor</cp:lastModifiedBy>
  <dcterms:modified xsi:type="dcterms:W3CDTF">2026-03-16T04:53:36Z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eyJoZGlkIjoiODhiMjZkMjc1MjE4NmU1YzU4NzBiZWEwOWYxYjU0NjgiLCJ1c2VySWQiOiI0NTI5OTExNDkifQ==</vt:lpwstr>
  </property>
  <property fmtid="{D5CDD505-2E9C-101B-9397-08002B2CF9AE}" pid="3" name="KSOProductBuildVer">
    <vt:lpwstr>2052-12.1.0.25225</vt:lpwstr>
  </property>
  <property fmtid="{D5CDD505-2E9C-101B-9397-08002B2CF9AE}" pid="4" name="ICV">
    <vt:lpwstr>62EB57F4DFD54DB4826AE113C5221941_13</vt:lpwstr>
  </property>
</Properties>
</file>